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64A0" w14:textId="77777777" w:rsidR="003B74FE" w:rsidRDefault="003B74FE" w:rsidP="003B74FE">
      <w:pPr>
        <w:pStyle w:val="OMBInfo"/>
      </w:pPr>
      <w:r>
        <w:t xml:space="preserve">OMB No. 0925-0001 and 0925-0002 (Rev. </w:t>
      </w:r>
      <w:r w:rsidRPr="007E6E1E">
        <w:t xml:space="preserve">03/2020 </w:t>
      </w:r>
      <w:r>
        <w:t>Approved Through 02/28/2023)</w:t>
      </w:r>
    </w:p>
    <w:p w14:paraId="0E9B90B2" w14:textId="77777777" w:rsidR="00350B38" w:rsidRDefault="00147FDB">
      <w:pPr>
        <w:pStyle w:val="likeheader"/>
      </w:pPr>
      <w:r>
        <w:pict w14:anchorId="745427AB">
          <v:rect id="_x0000_i1025" style="width:6in;height:.75pt" o:hralign="center" o:hrstd="t" o:hr="t" fillcolor="gray" stroked="f">
            <v:path strokeok="f"/>
          </v:rect>
        </w:pict>
      </w:r>
    </w:p>
    <w:p w14:paraId="010AB337" w14:textId="77777777" w:rsidR="00350B38" w:rsidRDefault="00B92718">
      <w:pPr>
        <w:pStyle w:val="h3center"/>
      </w:pPr>
      <w:r>
        <w:rPr>
          <w:rFonts w:ascii="Arial" w:eastAsia="Arial" w:hAnsi="Arial" w:cs="Arial"/>
          <w:sz w:val="26"/>
          <w:szCs w:val="26"/>
        </w:rPr>
        <w:t>BIOGRAPHICAL SKETCH</w:t>
      </w:r>
    </w:p>
    <w:p w14:paraId="128A0173" w14:textId="77777777" w:rsidR="00350B38" w:rsidRDefault="00B92718">
      <w:pPr>
        <w:pStyle w:val="sectionDescription"/>
        <w:jc w:val="center"/>
      </w:pPr>
      <w:r>
        <w:t>Provide the following information for the Senior/key personnel and other significant contributors.</w:t>
      </w:r>
      <w:r>
        <w:br/>
      </w:r>
      <w:r>
        <w:b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350B38" w14:paraId="19E3B01F" w14:textId="77777777">
        <w:tc>
          <w:tcPr>
            <w:tcW w:w="4530" w:type="dxa"/>
            <w:tcBorders>
              <w:top w:val="inset" w:sz="6" w:space="0" w:color="808080"/>
              <w:bottom w:val="single" w:sz="6" w:space="0" w:color="000000"/>
            </w:tcBorders>
            <w:tcMar>
              <w:top w:w="15" w:type="dxa"/>
              <w:left w:w="15" w:type="dxa"/>
              <w:bottom w:w="15" w:type="dxa"/>
              <w:right w:w="15" w:type="dxa"/>
            </w:tcMar>
          </w:tcPr>
          <w:p w14:paraId="536662A8" w14:textId="77777777" w:rsidR="00350B38" w:rsidRDefault="00B92718">
            <w:r>
              <w:t>NAME: Thorne, Peter S.</w:t>
            </w:r>
          </w:p>
        </w:tc>
      </w:tr>
      <w:tr w:rsidR="00350B38" w14:paraId="41AE1BA6" w14:textId="77777777">
        <w:tc>
          <w:tcPr>
            <w:tcW w:w="0" w:type="auto"/>
            <w:tcBorders>
              <w:top w:val="inset" w:sz="6" w:space="0" w:color="808080"/>
              <w:bottom w:val="single" w:sz="6" w:space="0" w:color="000000"/>
            </w:tcBorders>
            <w:tcMar>
              <w:top w:w="15" w:type="dxa"/>
              <w:left w:w="15" w:type="dxa"/>
              <w:bottom w:w="15" w:type="dxa"/>
              <w:right w:w="15" w:type="dxa"/>
            </w:tcMar>
          </w:tcPr>
          <w:p w14:paraId="4EE85267" w14:textId="77777777" w:rsidR="00350B38" w:rsidRDefault="00B92718">
            <w:r>
              <w:t xml:space="preserve">eRA COMMONS USER NAME (agency login): </w:t>
            </w:r>
            <w:r w:rsidR="00540D3A">
              <w:t>PTHORNE</w:t>
            </w:r>
          </w:p>
        </w:tc>
      </w:tr>
      <w:tr w:rsidR="00350B38" w14:paraId="52C5B973" w14:textId="77777777">
        <w:tc>
          <w:tcPr>
            <w:tcW w:w="0" w:type="auto"/>
            <w:tcBorders>
              <w:top w:val="inset" w:sz="6" w:space="0" w:color="808080"/>
              <w:bottom w:val="single" w:sz="6" w:space="0" w:color="000000"/>
            </w:tcBorders>
            <w:tcMar>
              <w:top w:w="15" w:type="dxa"/>
              <w:left w:w="15" w:type="dxa"/>
              <w:bottom w:w="15" w:type="dxa"/>
              <w:right w:w="15" w:type="dxa"/>
            </w:tcMar>
          </w:tcPr>
          <w:p w14:paraId="4F678E2A" w14:textId="64584F21" w:rsidR="00350B38" w:rsidRDefault="00B92718" w:rsidP="00540D3A">
            <w:r>
              <w:t xml:space="preserve">POSITION TITLE: </w:t>
            </w:r>
            <w:r w:rsidR="004C6A2B">
              <w:t>Professor and University of Iowa Distinguished Chair</w:t>
            </w:r>
          </w:p>
        </w:tc>
      </w:tr>
    </w:tbl>
    <w:p w14:paraId="0668429A" w14:textId="77777777" w:rsidR="00350B38" w:rsidRDefault="00B92718">
      <w:pPr>
        <w:pStyle w:val="sectionEducationsectionHeader"/>
      </w:pPr>
      <w:r>
        <w:t xml:space="preserve">EDUCATION/TRAINING </w:t>
      </w:r>
      <w:r>
        <w:rPr>
          <w:i/>
          <w:iCs/>
        </w:rPr>
        <w:t xml:space="preserve">(Begin with baccalaureate or other initial professional education, such as nursing, include postdoctoral training and residency training if applicable.)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4325"/>
        <w:gridCol w:w="2207"/>
        <w:gridCol w:w="1383"/>
        <w:gridCol w:w="2885"/>
      </w:tblGrid>
      <w:tr w:rsidR="00350B38" w14:paraId="755B1A49" w14:textId="77777777">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68CFCEE8" w14:textId="77777777" w:rsidR="00350B38" w:rsidRDefault="00B92718">
            <w:pPr>
              <w:jc w:val="center"/>
            </w:pPr>
            <w:r>
              <w:rPr>
                <w:sz w:val="16"/>
                <w:szCs w:val="16"/>
              </w:rP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074186A2" w14:textId="77777777" w:rsidR="00350B38" w:rsidRDefault="00B92718">
            <w:pPr>
              <w:jc w:val="center"/>
            </w:pPr>
            <w:r>
              <w:rPr>
                <w:sz w:val="16"/>
                <w:szCs w:val="16"/>
              </w:rPr>
              <w:t>DEGREE</w:t>
            </w:r>
            <w:r>
              <w:rPr>
                <w:sz w:val="16"/>
                <w:szCs w:val="16"/>
              </w:rP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77D69AFD" w14:textId="77777777" w:rsidR="00350B38" w:rsidRDefault="00B92718">
            <w:pPr>
              <w:jc w:val="center"/>
            </w:pPr>
            <w:r>
              <w:rPr>
                <w:sz w:val="16"/>
                <w:szCs w:val="16"/>
              </w:rPr>
              <w:t xml:space="preserve">Completion Date </w:t>
            </w:r>
            <w:r>
              <w:rPr>
                <w:sz w:val="16"/>
                <w:szCs w:val="16"/>
              </w:rP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7F04C734" w14:textId="77777777" w:rsidR="00350B38" w:rsidRDefault="00B92718">
            <w:pPr>
              <w:jc w:val="center"/>
            </w:pPr>
            <w:r>
              <w:rPr>
                <w:sz w:val="16"/>
                <w:szCs w:val="16"/>
              </w:rPr>
              <w:t>FIELD OF STUDY</w:t>
            </w:r>
          </w:p>
        </w:tc>
      </w:tr>
      <w:tr w:rsidR="00350B38" w14:paraId="6384D38E" w14:textId="77777777">
        <w:tc>
          <w:tcPr>
            <w:tcW w:w="0" w:type="auto"/>
            <w:tcBorders>
              <w:right w:val="single" w:sz="6" w:space="0" w:color="000000"/>
            </w:tcBorders>
            <w:tcMar>
              <w:top w:w="15" w:type="dxa"/>
              <w:left w:w="15" w:type="dxa"/>
              <w:bottom w:w="15" w:type="dxa"/>
              <w:right w:w="15" w:type="dxa"/>
            </w:tcMar>
          </w:tcPr>
          <w:p w14:paraId="430C6139" w14:textId="77777777" w:rsidR="00350B38" w:rsidRDefault="00B92718">
            <w: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4CFAA78A" w14:textId="5683EBBE" w:rsidR="00350B38" w:rsidRDefault="00B92718">
            <w:r>
              <w:t>BS</w:t>
            </w:r>
          </w:p>
        </w:tc>
        <w:tc>
          <w:tcPr>
            <w:tcW w:w="0" w:type="auto"/>
            <w:tcBorders>
              <w:left w:val="inset" w:sz="6" w:space="0" w:color="808080"/>
              <w:right w:val="single" w:sz="6" w:space="0" w:color="000000"/>
            </w:tcBorders>
            <w:tcMar>
              <w:top w:w="15" w:type="dxa"/>
              <w:left w:w="15" w:type="dxa"/>
              <w:bottom w:w="15" w:type="dxa"/>
              <w:right w:w="15" w:type="dxa"/>
            </w:tcMar>
          </w:tcPr>
          <w:p w14:paraId="46FA3F2F" w14:textId="77777777" w:rsidR="00350B38" w:rsidRDefault="00B92718">
            <w:r>
              <w:t>09/1978</w:t>
            </w:r>
          </w:p>
        </w:tc>
        <w:tc>
          <w:tcPr>
            <w:tcW w:w="0" w:type="auto"/>
            <w:tcBorders>
              <w:left w:val="inset" w:sz="6" w:space="0" w:color="808080"/>
            </w:tcBorders>
            <w:tcMar>
              <w:top w:w="15" w:type="dxa"/>
              <w:left w:w="15" w:type="dxa"/>
              <w:bottom w:w="15" w:type="dxa"/>
              <w:right w:w="15" w:type="dxa"/>
            </w:tcMar>
          </w:tcPr>
          <w:p w14:paraId="0956D70D" w14:textId="77777777" w:rsidR="00350B38" w:rsidRDefault="00B92718">
            <w:r>
              <w:t>Chemical Engineering</w:t>
            </w:r>
          </w:p>
        </w:tc>
      </w:tr>
      <w:tr w:rsidR="00350B38" w14:paraId="67392114" w14:textId="77777777">
        <w:tc>
          <w:tcPr>
            <w:tcW w:w="0" w:type="auto"/>
            <w:tcBorders>
              <w:right w:val="single" w:sz="6" w:space="0" w:color="000000"/>
            </w:tcBorders>
            <w:tcMar>
              <w:top w:w="15" w:type="dxa"/>
              <w:left w:w="15" w:type="dxa"/>
              <w:bottom w:w="15" w:type="dxa"/>
              <w:right w:w="15" w:type="dxa"/>
            </w:tcMar>
          </w:tcPr>
          <w:p w14:paraId="79B4D383" w14:textId="77777777" w:rsidR="00350B38" w:rsidRDefault="00B92718">
            <w: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29233C22" w14:textId="77777777" w:rsidR="00350B38" w:rsidRDefault="00B92718">
            <w:r>
              <w:t>MS</w:t>
            </w:r>
          </w:p>
        </w:tc>
        <w:tc>
          <w:tcPr>
            <w:tcW w:w="0" w:type="auto"/>
            <w:tcBorders>
              <w:left w:val="inset" w:sz="6" w:space="0" w:color="808080"/>
              <w:right w:val="single" w:sz="6" w:space="0" w:color="000000"/>
            </w:tcBorders>
            <w:tcMar>
              <w:top w:w="15" w:type="dxa"/>
              <w:left w:w="15" w:type="dxa"/>
              <w:bottom w:w="15" w:type="dxa"/>
              <w:right w:w="15" w:type="dxa"/>
            </w:tcMar>
          </w:tcPr>
          <w:p w14:paraId="47C69B6C" w14:textId="77777777" w:rsidR="00350B38" w:rsidRDefault="00B92718">
            <w:r>
              <w:t>05/1980</w:t>
            </w:r>
          </w:p>
        </w:tc>
        <w:tc>
          <w:tcPr>
            <w:tcW w:w="0" w:type="auto"/>
            <w:tcBorders>
              <w:left w:val="inset" w:sz="6" w:space="0" w:color="808080"/>
            </w:tcBorders>
            <w:tcMar>
              <w:top w:w="15" w:type="dxa"/>
              <w:left w:w="15" w:type="dxa"/>
              <w:bottom w:w="15" w:type="dxa"/>
              <w:right w:w="15" w:type="dxa"/>
            </w:tcMar>
          </w:tcPr>
          <w:p w14:paraId="29456B7B" w14:textId="77777777" w:rsidR="00350B38" w:rsidRDefault="00B92718">
            <w:r>
              <w:t>Biomedical Engineering</w:t>
            </w:r>
          </w:p>
        </w:tc>
      </w:tr>
      <w:tr w:rsidR="00350B38" w14:paraId="77057A1A" w14:textId="77777777">
        <w:tc>
          <w:tcPr>
            <w:tcW w:w="0" w:type="auto"/>
            <w:tcBorders>
              <w:right w:val="single" w:sz="6" w:space="0" w:color="000000"/>
            </w:tcBorders>
            <w:tcMar>
              <w:top w:w="15" w:type="dxa"/>
              <w:left w:w="15" w:type="dxa"/>
              <w:bottom w:w="15" w:type="dxa"/>
              <w:right w:w="15" w:type="dxa"/>
            </w:tcMar>
          </w:tcPr>
          <w:p w14:paraId="15B6DC7A" w14:textId="77777777" w:rsidR="00350B38" w:rsidRDefault="00B92718">
            <w: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2334F07D" w14:textId="77777777" w:rsidR="00350B38" w:rsidRDefault="00B92718">
            <w:r>
              <w:t>PHD</w:t>
            </w:r>
          </w:p>
        </w:tc>
        <w:tc>
          <w:tcPr>
            <w:tcW w:w="0" w:type="auto"/>
            <w:tcBorders>
              <w:left w:val="inset" w:sz="6" w:space="0" w:color="808080"/>
              <w:right w:val="single" w:sz="6" w:space="0" w:color="000000"/>
            </w:tcBorders>
            <w:tcMar>
              <w:top w:w="15" w:type="dxa"/>
              <w:left w:w="15" w:type="dxa"/>
              <w:bottom w:w="15" w:type="dxa"/>
              <w:right w:w="15" w:type="dxa"/>
            </w:tcMar>
          </w:tcPr>
          <w:p w14:paraId="40FABFC8" w14:textId="77777777" w:rsidR="00350B38" w:rsidRDefault="00B92718">
            <w:r>
              <w:t>07/1984</w:t>
            </w:r>
          </w:p>
        </w:tc>
        <w:tc>
          <w:tcPr>
            <w:tcW w:w="0" w:type="auto"/>
            <w:tcBorders>
              <w:left w:val="inset" w:sz="6" w:space="0" w:color="808080"/>
            </w:tcBorders>
            <w:tcMar>
              <w:top w:w="15" w:type="dxa"/>
              <w:left w:w="15" w:type="dxa"/>
              <w:bottom w:w="15" w:type="dxa"/>
              <w:right w:w="15" w:type="dxa"/>
            </w:tcMar>
          </w:tcPr>
          <w:p w14:paraId="6E9C235C" w14:textId="77777777" w:rsidR="00350B38" w:rsidRDefault="00B92718">
            <w:r>
              <w:t>Environmental Toxicology</w:t>
            </w:r>
          </w:p>
        </w:tc>
      </w:tr>
      <w:tr w:rsidR="00350B38" w14:paraId="0D3ADC38" w14:textId="77777777">
        <w:tc>
          <w:tcPr>
            <w:tcW w:w="0" w:type="auto"/>
            <w:tcBorders>
              <w:right w:val="single" w:sz="6" w:space="0" w:color="000000"/>
            </w:tcBorders>
            <w:tcMar>
              <w:top w:w="15" w:type="dxa"/>
              <w:left w:w="15" w:type="dxa"/>
              <w:bottom w:w="15" w:type="dxa"/>
              <w:right w:w="15" w:type="dxa"/>
            </w:tcMar>
          </w:tcPr>
          <w:p w14:paraId="282A370D" w14:textId="77777777" w:rsidR="00350B38" w:rsidRDefault="00B92718">
            <w:r>
              <w:t>University of Pittsburgh, Pittsburgh, PA</w:t>
            </w:r>
          </w:p>
        </w:tc>
        <w:tc>
          <w:tcPr>
            <w:tcW w:w="0" w:type="auto"/>
            <w:tcBorders>
              <w:left w:val="inset" w:sz="6" w:space="0" w:color="808080"/>
              <w:right w:val="single" w:sz="6" w:space="0" w:color="000000"/>
            </w:tcBorders>
            <w:tcMar>
              <w:top w:w="15" w:type="dxa"/>
              <w:left w:w="15" w:type="dxa"/>
              <w:bottom w:w="15" w:type="dxa"/>
              <w:right w:w="15" w:type="dxa"/>
            </w:tcMar>
          </w:tcPr>
          <w:p w14:paraId="768EAE15" w14:textId="77777777" w:rsidR="00350B38" w:rsidRDefault="00B92718">
            <w:r>
              <w:t>Postdoctoral Fellow</w:t>
            </w:r>
          </w:p>
        </w:tc>
        <w:tc>
          <w:tcPr>
            <w:tcW w:w="0" w:type="auto"/>
            <w:tcBorders>
              <w:left w:val="inset" w:sz="6" w:space="0" w:color="808080"/>
              <w:right w:val="single" w:sz="6" w:space="0" w:color="000000"/>
            </w:tcBorders>
            <w:tcMar>
              <w:top w:w="15" w:type="dxa"/>
              <w:left w:w="15" w:type="dxa"/>
              <w:bottom w:w="15" w:type="dxa"/>
              <w:right w:w="15" w:type="dxa"/>
            </w:tcMar>
          </w:tcPr>
          <w:p w14:paraId="5AB95CF4" w14:textId="77777777" w:rsidR="00350B38" w:rsidRDefault="00B92718">
            <w:r>
              <w:t>03/1987</w:t>
            </w:r>
          </w:p>
        </w:tc>
        <w:tc>
          <w:tcPr>
            <w:tcW w:w="0" w:type="auto"/>
            <w:tcBorders>
              <w:left w:val="inset" w:sz="6" w:space="0" w:color="808080"/>
            </w:tcBorders>
            <w:tcMar>
              <w:top w:w="15" w:type="dxa"/>
              <w:left w:w="15" w:type="dxa"/>
              <w:bottom w:w="15" w:type="dxa"/>
              <w:right w:w="15" w:type="dxa"/>
            </w:tcMar>
          </w:tcPr>
          <w:p w14:paraId="142FEA44" w14:textId="77777777" w:rsidR="00350B38" w:rsidRDefault="00B92718">
            <w:r>
              <w:t>Immunotoxicology</w:t>
            </w:r>
          </w:p>
        </w:tc>
      </w:tr>
    </w:tbl>
    <w:p w14:paraId="261EF596" w14:textId="77777777" w:rsidR="00350B38" w:rsidRPr="00B75301" w:rsidRDefault="00B92718" w:rsidP="00766220">
      <w:pPr>
        <w:pStyle w:val="Heading3"/>
        <w:spacing w:before="120" w:after="0"/>
        <w:rPr>
          <w:sz w:val="24"/>
        </w:rPr>
      </w:pPr>
      <w:r w:rsidRPr="00B75301">
        <w:rPr>
          <w:rFonts w:ascii="Arial" w:eastAsia="Arial" w:hAnsi="Arial" w:cs="Arial"/>
          <w:sz w:val="24"/>
          <w:szCs w:val="26"/>
        </w:rPr>
        <w:t>A. Personal Statement</w:t>
      </w:r>
    </w:p>
    <w:p w14:paraId="4C6E2136" w14:textId="3E01B078" w:rsidR="00575DF4" w:rsidRDefault="000773AE" w:rsidP="00F273BC">
      <w:pPr>
        <w:spacing w:before="120" w:after="120"/>
      </w:pPr>
      <w:r>
        <w:t xml:space="preserve">My research </w:t>
      </w:r>
      <w:r w:rsidR="00567CAE">
        <w:t xml:space="preserve">experience has been amassed </w:t>
      </w:r>
      <w:r w:rsidR="004D73DF">
        <w:t xml:space="preserve">through </w:t>
      </w:r>
      <w:r w:rsidR="00567CAE">
        <w:t xml:space="preserve">over three decades </w:t>
      </w:r>
      <w:r w:rsidR="004D73DF">
        <w:t xml:space="preserve">of </w:t>
      </w:r>
      <w:r w:rsidR="009D68F7">
        <w:t xml:space="preserve">NIH-funded </w:t>
      </w:r>
      <w:r w:rsidR="004D73DF">
        <w:t>research in</w:t>
      </w:r>
      <w:r w:rsidR="003D4E7A">
        <w:t xml:space="preserve"> </w:t>
      </w:r>
      <w:r w:rsidR="009A1569">
        <w:t xml:space="preserve">pulmonary toxicology, </w:t>
      </w:r>
      <w:r w:rsidR="003109E6">
        <w:t xml:space="preserve">exposomics and </w:t>
      </w:r>
      <w:r w:rsidR="007E364E">
        <w:t>environmental epidemiology</w:t>
      </w:r>
      <w:r w:rsidR="00D77842">
        <w:t xml:space="preserve">. </w:t>
      </w:r>
      <w:r w:rsidR="006C1D90">
        <w:t xml:space="preserve">My work as an inhalation toxicologist requires a deep understanding of </w:t>
      </w:r>
      <w:r w:rsidR="00B94268">
        <w:t xml:space="preserve">pulmonary toxicology, </w:t>
      </w:r>
      <w:r w:rsidR="000425EB">
        <w:t xml:space="preserve">airway biology, </w:t>
      </w:r>
      <w:r w:rsidR="00B94268">
        <w:t xml:space="preserve">innate immune responsiveness, </w:t>
      </w:r>
      <w:r w:rsidR="000E13F9">
        <w:t xml:space="preserve">lung dosimetry and </w:t>
      </w:r>
      <w:r w:rsidR="006C1D90">
        <w:t xml:space="preserve">aerosol physics. These skill sets and the tremendous capabilities of our EHSRC Human Toxicology and Exposomics Laboratory will </w:t>
      </w:r>
      <w:r w:rsidR="008250C1">
        <w:t xml:space="preserve">interdigitate well with </w:t>
      </w:r>
      <w:r w:rsidR="00D008D1">
        <w:t>the proposed research</w:t>
      </w:r>
      <w:r w:rsidR="006C1D90">
        <w:t>.</w:t>
      </w:r>
      <w:r w:rsidR="002C7A32">
        <w:t xml:space="preserve"> </w:t>
      </w:r>
      <w:r w:rsidR="00D77842">
        <w:t xml:space="preserve">I </w:t>
      </w:r>
      <w:r w:rsidR="00322AA2">
        <w:t xml:space="preserve">am founding member </w:t>
      </w:r>
      <w:r w:rsidR="00D77842">
        <w:t xml:space="preserve">of </w:t>
      </w:r>
      <w:r w:rsidR="00322AA2">
        <w:t>our</w:t>
      </w:r>
      <w:r w:rsidR="007E364E">
        <w:t xml:space="preserve"> NIEHS</w:t>
      </w:r>
      <w:r w:rsidR="00D77842">
        <w:t xml:space="preserve"> P30 </w:t>
      </w:r>
      <w:r w:rsidR="00FA4C63">
        <w:t xml:space="preserve">Environmental Health Science Research </w:t>
      </w:r>
      <w:r w:rsidR="00D77842">
        <w:t>Center</w:t>
      </w:r>
      <w:r w:rsidR="00322AA2">
        <w:t xml:space="preserve">. I served as Deputy </w:t>
      </w:r>
      <w:r w:rsidR="00017A74">
        <w:t>D</w:t>
      </w:r>
      <w:r w:rsidR="00322AA2">
        <w:t>irector</w:t>
      </w:r>
      <w:r w:rsidR="00FA4C63">
        <w:t xml:space="preserve"> </w:t>
      </w:r>
      <w:r w:rsidR="00044D6A">
        <w:t>1995-2000</w:t>
      </w:r>
      <w:r w:rsidR="00A97AF1">
        <w:t>, the</w:t>
      </w:r>
      <w:r w:rsidR="00017A74">
        <w:t>n</w:t>
      </w:r>
      <w:r w:rsidR="00A97AF1">
        <w:t xml:space="preserve"> Director</w:t>
      </w:r>
      <w:r w:rsidR="007E364E">
        <w:t xml:space="preserve"> </w:t>
      </w:r>
      <w:r w:rsidR="00044D6A">
        <w:t>2000-2020</w:t>
      </w:r>
      <w:r w:rsidR="00252DF2">
        <w:t xml:space="preserve"> and </w:t>
      </w:r>
      <w:r w:rsidR="00044D6A">
        <w:t xml:space="preserve">since 2020 </w:t>
      </w:r>
      <w:r w:rsidR="00A97AF1">
        <w:t xml:space="preserve">as </w:t>
      </w:r>
      <w:r w:rsidR="00044D6A">
        <w:t>Deputy D</w:t>
      </w:r>
      <w:r w:rsidR="00A97AF1">
        <w:t xml:space="preserve">irector. I </w:t>
      </w:r>
      <w:r w:rsidR="00017A74">
        <w:t>have served as</w:t>
      </w:r>
      <w:r w:rsidR="007E364E">
        <w:t xml:space="preserve"> </w:t>
      </w:r>
      <w:r w:rsidR="00017A74">
        <w:t>D</w:t>
      </w:r>
      <w:r w:rsidR="00252DF2">
        <w:t>irector of the Pulmonary Toxicology Facility core for 2</w:t>
      </w:r>
      <w:r w:rsidR="009A1569">
        <w:t>7</w:t>
      </w:r>
      <w:r w:rsidR="00252DF2">
        <w:t xml:space="preserve"> years</w:t>
      </w:r>
      <w:r w:rsidR="002C7A32">
        <w:t>.</w:t>
      </w:r>
    </w:p>
    <w:p w14:paraId="7C82F99D" w14:textId="2485A044" w:rsidR="00575DF4" w:rsidRDefault="00575DF4" w:rsidP="00F273BC">
      <w:pPr>
        <w:spacing w:before="120" w:after="120"/>
      </w:pPr>
      <w:r>
        <w:t xml:space="preserve">My </w:t>
      </w:r>
      <w:r w:rsidR="00F527A8">
        <w:t xml:space="preserve">portfolio of </w:t>
      </w:r>
      <w:r>
        <w:t xml:space="preserve">research </w:t>
      </w:r>
      <w:r w:rsidR="00F527A8">
        <w:t>has been funded by NIEHS, NIAID, NHLBI, FIC, CDC</w:t>
      </w:r>
      <w:r w:rsidR="00A26AD3">
        <w:t xml:space="preserve">, </w:t>
      </w:r>
      <w:r w:rsidR="003F7E00">
        <w:t xml:space="preserve">DOD, NSF and </w:t>
      </w:r>
      <w:r w:rsidR="00A26AD3">
        <w:t>HUD</w:t>
      </w:r>
      <w:r w:rsidR="00583C03">
        <w:t xml:space="preserve"> and totals over $65M</w:t>
      </w:r>
      <w:r w:rsidR="003F7E00">
        <w:t>. The fi</w:t>
      </w:r>
      <w:r w:rsidR="001A6B36">
        <w:t>n</w:t>
      </w:r>
      <w:r w:rsidR="003F7E00">
        <w:t>di</w:t>
      </w:r>
      <w:r w:rsidR="001A6B36">
        <w:t>n</w:t>
      </w:r>
      <w:r w:rsidR="003F7E00">
        <w:t>gs of this research ha</w:t>
      </w:r>
      <w:r w:rsidR="00273334">
        <w:t>v</w:t>
      </w:r>
      <w:r w:rsidR="00E51ECB">
        <w:t>e</w:t>
      </w:r>
      <w:r w:rsidR="003F7E00">
        <w:t xml:space="preserve"> been presented </w:t>
      </w:r>
      <w:r w:rsidR="001A6B36">
        <w:t>in over 2</w:t>
      </w:r>
      <w:r w:rsidR="002254FA">
        <w:t>9</w:t>
      </w:r>
      <w:r w:rsidR="001A6B36">
        <w:t>0 peer-reviewed publications</w:t>
      </w:r>
      <w:r w:rsidR="00DB4948">
        <w:t xml:space="preserve">. </w:t>
      </w:r>
      <w:r w:rsidR="00273334">
        <w:t xml:space="preserve">I currently lead a research project within our </w:t>
      </w:r>
      <w:r w:rsidR="00E51ECB">
        <w:t xml:space="preserve">P42 </w:t>
      </w:r>
      <w:r w:rsidR="00273334">
        <w:t xml:space="preserve">Iowa Superfund Research Program, </w:t>
      </w:r>
      <w:r w:rsidR="00E51ECB">
        <w:t>a facility c</w:t>
      </w:r>
      <w:r w:rsidR="00273334">
        <w:t>ore with</w:t>
      </w:r>
      <w:r w:rsidR="00E51ECB">
        <w:t>in our P30 center, and a</w:t>
      </w:r>
      <w:r w:rsidR="005F4AED">
        <w:t xml:space="preserve">m PI of a </w:t>
      </w:r>
      <w:r w:rsidR="00E51ECB">
        <w:t>NIEHS-funded Nanotoxicology U01</w:t>
      </w:r>
      <w:r w:rsidR="005F4AED">
        <w:t>.</w:t>
      </w:r>
      <w:r w:rsidR="00B90343">
        <w:t xml:space="preserve"> </w:t>
      </w:r>
      <w:r w:rsidR="00DB4948">
        <w:t>As a mentor</w:t>
      </w:r>
      <w:r w:rsidR="00140A54">
        <w:t>,</w:t>
      </w:r>
      <w:r w:rsidR="00DB4948">
        <w:t xml:space="preserve"> I have served as </w:t>
      </w:r>
      <w:r w:rsidR="00140A54">
        <w:t xml:space="preserve">PI and major </w:t>
      </w:r>
      <w:r w:rsidR="00CE14F2">
        <w:t>advisor</w:t>
      </w:r>
      <w:r w:rsidR="003562C2">
        <w:t xml:space="preserve"> for </w:t>
      </w:r>
      <w:r w:rsidR="00D347C2">
        <w:t xml:space="preserve">17 </w:t>
      </w:r>
      <w:r w:rsidR="00140A54">
        <w:t>P</w:t>
      </w:r>
      <w:r w:rsidR="00D347C2">
        <w:t>ost-doc</w:t>
      </w:r>
      <w:r w:rsidR="00140A54">
        <w:t>toral fellows</w:t>
      </w:r>
      <w:r w:rsidR="00D347C2">
        <w:t xml:space="preserve">, </w:t>
      </w:r>
      <w:r w:rsidR="005E2895">
        <w:t xml:space="preserve">24 PhD </w:t>
      </w:r>
      <w:r w:rsidR="00D347C2">
        <w:t xml:space="preserve">students </w:t>
      </w:r>
      <w:r w:rsidR="005E2895">
        <w:t xml:space="preserve">and </w:t>
      </w:r>
      <w:r w:rsidR="002D5ED7">
        <w:t>31 M</w:t>
      </w:r>
      <w:r w:rsidR="00D347C2">
        <w:t xml:space="preserve">asters </w:t>
      </w:r>
      <w:r w:rsidR="00CE14F2">
        <w:t>students.</w:t>
      </w:r>
      <w:r w:rsidR="00140A54">
        <w:t xml:space="preserve"> I serve</w:t>
      </w:r>
      <w:r w:rsidR="00A5428C">
        <w:t>12 years</w:t>
      </w:r>
      <w:r w:rsidR="00140A54">
        <w:t xml:space="preserve"> as </w:t>
      </w:r>
      <w:r w:rsidR="0018744A">
        <w:t xml:space="preserve">Head of the </w:t>
      </w:r>
      <w:r w:rsidR="00140A54">
        <w:t>Department</w:t>
      </w:r>
      <w:r w:rsidR="00AD63C9">
        <w:t xml:space="preserve"> of Occupational and Environmental Health </w:t>
      </w:r>
      <w:r w:rsidR="0018744A">
        <w:t xml:space="preserve">and </w:t>
      </w:r>
      <w:r w:rsidR="00A5428C">
        <w:t xml:space="preserve">am currently the </w:t>
      </w:r>
      <w:r w:rsidR="0018744A">
        <w:t>Director of the</w:t>
      </w:r>
      <w:r w:rsidR="00583C03">
        <w:t xml:space="preserve"> interdisciplinary </w:t>
      </w:r>
      <w:r w:rsidR="0018744A">
        <w:t xml:space="preserve">Human Toxicology Program. </w:t>
      </w:r>
    </w:p>
    <w:p w14:paraId="0803EE3F" w14:textId="60C06435" w:rsidR="005324DD" w:rsidRDefault="002C7A32" w:rsidP="00021346">
      <w:pPr>
        <w:tabs>
          <w:tab w:val="left" w:pos="8235"/>
        </w:tabs>
      </w:pPr>
      <w:r>
        <w:t>My</w:t>
      </w:r>
      <w:r w:rsidR="004D73DF">
        <w:t xml:space="preserve"> experience as a member of the National Academy of Sciences</w:t>
      </w:r>
      <w:r w:rsidR="007E364E">
        <w:t xml:space="preserve"> (NAS)</w:t>
      </w:r>
      <w:r w:rsidR="004D73DF">
        <w:t>, Board on Environmental Studies and Toxicology</w:t>
      </w:r>
      <w:r w:rsidR="007E364E">
        <w:t xml:space="preserve">; </w:t>
      </w:r>
      <w:r w:rsidR="00D53384">
        <w:t xml:space="preserve">Chair of the </w:t>
      </w:r>
      <w:r w:rsidR="007E364E">
        <w:t>NAS Committee on Toxicology</w:t>
      </w:r>
      <w:r w:rsidR="004D73DF">
        <w:t xml:space="preserve"> and as Chair of the EPA Science Advisory Board have helped me gain insight into the translation of </w:t>
      </w:r>
      <w:r w:rsidR="00D77842">
        <w:t xml:space="preserve">biomedical </w:t>
      </w:r>
      <w:r w:rsidR="004D73DF">
        <w:t>research</w:t>
      </w:r>
      <w:r w:rsidR="00D3110A">
        <w:t xml:space="preserve"> </w:t>
      </w:r>
      <w:r w:rsidR="004D73DF">
        <w:t>to protect the health of the public.</w:t>
      </w:r>
      <w:r w:rsidR="009D68F7">
        <w:t xml:space="preserve"> </w:t>
      </w:r>
      <w:r w:rsidR="0078146E" w:rsidRPr="0078146E">
        <w:t xml:space="preserve">I have </w:t>
      </w:r>
      <w:r w:rsidR="0040274B">
        <w:t>over 30</w:t>
      </w:r>
      <w:r w:rsidR="00941840">
        <w:t xml:space="preserve"> </w:t>
      </w:r>
      <w:r w:rsidR="0040274B">
        <w:t>y</w:t>
      </w:r>
      <w:r w:rsidR="0097217B">
        <w:t>ea</w:t>
      </w:r>
      <w:r w:rsidR="0040274B">
        <w:t>r</w:t>
      </w:r>
      <w:r w:rsidR="0097217B">
        <w:t>s</w:t>
      </w:r>
      <w:r w:rsidR="0040274B">
        <w:t xml:space="preserve"> </w:t>
      </w:r>
      <w:r w:rsidR="00941840">
        <w:t xml:space="preserve">of </w:t>
      </w:r>
      <w:r w:rsidR="0078146E" w:rsidRPr="0078146E">
        <w:t xml:space="preserve">experience leading </w:t>
      </w:r>
      <w:r w:rsidR="0040274B">
        <w:t>pulmonary toxicology</w:t>
      </w:r>
      <w:r w:rsidR="0078146E" w:rsidRPr="0078146E">
        <w:t xml:space="preserve"> research studies and collaborate extensively with investigators </w:t>
      </w:r>
      <w:r w:rsidR="00941840">
        <w:t>worldwide</w:t>
      </w:r>
      <w:r w:rsidR="0078146E">
        <w:t>.</w:t>
      </w:r>
      <w:r w:rsidR="005324DD" w:rsidRPr="005324DD">
        <w:t xml:space="preserve"> </w:t>
      </w:r>
      <w:r w:rsidR="00FB4B0A" w:rsidRPr="00FB4B0A">
        <w:t xml:space="preserve">I have created the infrastructure and equipment for </w:t>
      </w:r>
      <w:r w:rsidR="00762999">
        <w:t xml:space="preserve">lung </w:t>
      </w:r>
      <w:r w:rsidR="00FB4B0A" w:rsidRPr="00FB4B0A">
        <w:t xml:space="preserve">exposure studies. </w:t>
      </w:r>
      <w:r w:rsidR="005324DD">
        <w:t>Ongoing and recently completed projects that I would like to highlight include:</w:t>
      </w:r>
    </w:p>
    <w:p w14:paraId="19D794F8" w14:textId="77777777" w:rsidR="005324DD" w:rsidRPr="000567E1" w:rsidRDefault="005324DD" w:rsidP="005324DD">
      <w:pPr>
        <w:tabs>
          <w:tab w:val="left" w:pos="8235"/>
        </w:tabs>
      </w:pPr>
    </w:p>
    <w:tbl>
      <w:tblPr>
        <w:tblStyle w:val="TableGrid"/>
        <w:tblW w:w="10790" w:type="dxa"/>
        <w:tblInd w:w="0" w:type="dxa"/>
        <w:tblLook w:val="04A0" w:firstRow="1" w:lastRow="0" w:firstColumn="1" w:lastColumn="0" w:noHBand="0" w:noVBand="1"/>
      </w:tblPr>
      <w:tblGrid>
        <w:gridCol w:w="5035"/>
        <w:gridCol w:w="2615"/>
        <w:gridCol w:w="3140"/>
      </w:tblGrid>
      <w:tr w:rsidR="005324DD" w:rsidRPr="00B611AB" w14:paraId="390BC1BB" w14:textId="77777777" w:rsidTr="0005138E">
        <w:tc>
          <w:tcPr>
            <w:tcW w:w="5035" w:type="dxa"/>
            <w:tcBorders>
              <w:top w:val="nil"/>
              <w:left w:val="nil"/>
              <w:bottom w:val="nil"/>
              <w:right w:val="nil"/>
            </w:tcBorders>
          </w:tcPr>
          <w:p w14:paraId="7E7ABCC4" w14:textId="1C5D51B1" w:rsidR="005324DD" w:rsidRPr="00B611AB" w:rsidRDefault="005324DD" w:rsidP="0005138E">
            <w:pPr>
              <w:rPr>
                <w:bdr w:val="none" w:sz="0" w:space="0" w:color="auto"/>
              </w:rPr>
            </w:pPr>
            <w:r>
              <w:rPr>
                <w:bdr w:val="none" w:sz="0" w:space="0" w:color="auto"/>
              </w:rPr>
              <w:t>U01</w:t>
            </w:r>
            <w:r w:rsidRPr="00B611AB">
              <w:rPr>
                <w:bdr w:val="none" w:sz="0" w:space="0" w:color="auto"/>
              </w:rPr>
              <w:t xml:space="preserve"> ES</w:t>
            </w:r>
            <w:r>
              <w:rPr>
                <w:bdr w:val="none" w:sz="0" w:space="0" w:color="auto"/>
              </w:rPr>
              <w:t>027252-0</w:t>
            </w:r>
            <w:r w:rsidR="006F650F">
              <w:rPr>
                <w:bdr w:val="none" w:sz="0" w:space="0" w:color="auto"/>
              </w:rPr>
              <w:t>6</w:t>
            </w:r>
          </w:p>
          <w:p w14:paraId="45A8A0C4" w14:textId="77777777" w:rsidR="005324DD" w:rsidRPr="00B611AB" w:rsidRDefault="005324DD" w:rsidP="0005138E">
            <w:pPr>
              <w:rPr>
                <w:bdr w:val="none" w:sz="0" w:space="0" w:color="auto"/>
              </w:rPr>
            </w:pPr>
            <w:r w:rsidRPr="00B611AB">
              <w:rPr>
                <w:bdr w:val="none" w:sz="0" w:space="0" w:color="auto"/>
              </w:rPr>
              <w:t>NIH/NIEHS</w:t>
            </w:r>
            <w:r w:rsidRPr="00B611AB">
              <w:rPr>
                <w:i/>
                <w:bdr w:val="none" w:sz="0" w:space="0" w:color="auto"/>
              </w:rPr>
              <w:t xml:space="preserve"> </w:t>
            </w:r>
            <w:r w:rsidRPr="00B611AB">
              <w:rPr>
                <w:rFonts w:eastAsia="Times New Roman"/>
                <w:bdr w:val="none" w:sz="0" w:space="0" w:color="auto" w:frame="1"/>
              </w:rPr>
              <w:sym w:font="Wingdings" w:char="F0E0"/>
            </w:r>
            <w:r w:rsidRPr="00B611AB">
              <w:rPr>
                <w:rFonts w:eastAsia="Times New Roman"/>
                <w:bdr w:val="none" w:sz="0" w:space="0" w:color="auto" w:frame="1"/>
              </w:rPr>
              <w:t xml:space="preserve"> University of Iowa</w:t>
            </w:r>
          </w:p>
        </w:tc>
        <w:tc>
          <w:tcPr>
            <w:tcW w:w="2615" w:type="dxa"/>
            <w:tcBorders>
              <w:top w:val="nil"/>
              <w:left w:val="nil"/>
              <w:bottom w:val="nil"/>
              <w:right w:val="nil"/>
            </w:tcBorders>
          </w:tcPr>
          <w:p w14:paraId="712C58E4" w14:textId="77777777" w:rsidR="005324DD" w:rsidRPr="00B611AB" w:rsidRDefault="005324DD" w:rsidP="0005138E">
            <w:pPr>
              <w:rPr>
                <w:bdr w:val="none" w:sz="0" w:space="0" w:color="auto"/>
              </w:rPr>
            </w:pPr>
            <w:r w:rsidRPr="00B611AB">
              <w:rPr>
                <w:bdr w:val="none" w:sz="0" w:space="0" w:color="auto"/>
              </w:rPr>
              <w:t>Thorne (PI)</w:t>
            </w:r>
          </w:p>
        </w:tc>
        <w:tc>
          <w:tcPr>
            <w:tcW w:w="3140" w:type="dxa"/>
            <w:tcBorders>
              <w:top w:val="nil"/>
              <w:left w:val="nil"/>
              <w:bottom w:val="nil"/>
              <w:right w:val="nil"/>
            </w:tcBorders>
          </w:tcPr>
          <w:p w14:paraId="4D5B0CED" w14:textId="449FE7F9" w:rsidR="005324DD" w:rsidRPr="00B611AB" w:rsidRDefault="005324DD" w:rsidP="0005138E">
            <w:pPr>
              <w:rPr>
                <w:bdr w:val="none" w:sz="0" w:space="0" w:color="auto"/>
              </w:rPr>
            </w:pPr>
            <w:r>
              <w:rPr>
                <w:bdr w:val="none" w:sz="0" w:space="0" w:color="auto"/>
              </w:rPr>
              <w:t>09</w:t>
            </w:r>
            <w:r w:rsidRPr="00B611AB">
              <w:rPr>
                <w:bdr w:val="none" w:sz="0" w:space="0" w:color="auto"/>
              </w:rPr>
              <w:t>/</w:t>
            </w:r>
            <w:r>
              <w:rPr>
                <w:bdr w:val="none" w:sz="0" w:space="0" w:color="auto"/>
              </w:rPr>
              <w:t>0</w:t>
            </w:r>
            <w:r w:rsidRPr="00B611AB">
              <w:rPr>
                <w:bdr w:val="none" w:sz="0" w:space="0" w:color="auto"/>
              </w:rPr>
              <w:t>1/1</w:t>
            </w:r>
            <w:r>
              <w:rPr>
                <w:bdr w:val="none" w:sz="0" w:space="0" w:color="auto"/>
              </w:rPr>
              <w:t>6</w:t>
            </w:r>
            <w:r w:rsidRPr="00B611AB">
              <w:rPr>
                <w:bdr w:val="none" w:sz="0" w:space="0" w:color="auto"/>
              </w:rPr>
              <w:t>-</w:t>
            </w:r>
            <w:r>
              <w:rPr>
                <w:bdr w:val="none" w:sz="0" w:space="0" w:color="auto"/>
              </w:rPr>
              <w:t>08</w:t>
            </w:r>
            <w:r w:rsidRPr="00B611AB">
              <w:rPr>
                <w:bdr w:val="none" w:sz="0" w:space="0" w:color="auto"/>
              </w:rPr>
              <w:t>/3</w:t>
            </w:r>
            <w:r>
              <w:rPr>
                <w:bdr w:val="none" w:sz="0" w:space="0" w:color="auto"/>
              </w:rPr>
              <w:t>1</w:t>
            </w:r>
            <w:r w:rsidRPr="00B611AB">
              <w:rPr>
                <w:bdr w:val="none" w:sz="0" w:space="0" w:color="auto"/>
              </w:rPr>
              <w:t>/</w:t>
            </w:r>
            <w:r>
              <w:rPr>
                <w:bdr w:val="none" w:sz="0" w:space="0" w:color="auto"/>
              </w:rPr>
              <w:t>2</w:t>
            </w:r>
            <w:r w:rsidR="00021346">
              <w:rPr>
                <w:bdr w:val="none" w:sz="0" w:space="0" w:color="auto"/>
              </w:rPr>
              <w:t>2</w:t>
            </w:r>
          </w:p>
        </w:tc>
      </w:tr>
      <w:tr w:rsidR="005324DD" w:rsidRPr="00B611AB" w14:paraId="7EFABEF0" w14:textId="77777777" w:rsidTr="0005138E">
        <w:tc>
          <w:tcPr>
            <w:tcW w:w="10790" w:type="dxa"/>
            <w:gridSpan w:val="3"/>
            <w:tcBorders>
              <w:top w:val="nil"/>
              <w:left w:val="nil"/>
              <w:bottom w:val="nil"/>
              <w:right w:val="nil"/>
            </w:tcBorders>
          </w:tcPr>
          <w:p w14:paraId="1313F06A" w14:textId="77777777" w:rsidR="005324DD" w:rsidRPr="006F1129" w:rsidRDefault="005324DD" w:rsidP="0005138E">
            <w:pPr>
              <w:rPr>
                <w:i/>
                <w:bdr w:val="none" w:sz="0" w:space="0" w:color="auto"/>
              </w:rPr>
            </w:pPr>
            <w:r w:rsidRPr="006F1129">
              <w:rPr>
                <w:i/>
              </w:rPr>
              <w:t>Biological Response Profiles of Selected Engineered Nanomat</w:t>
            </w:r>
            <w:r>
              <w:rPr>
                <w:i/>
              </w:rPr>
              <w:t>erials after Perinatal Exposure</w:t>
            </w:r>
          </w:p>
        </w:tc>
      </w:tr>
      <w:tr w:rsidR="005324DD" w:rsidRPr="00B611AB" w14:paraId="520E2A03" w14:textId="77777777" w:rsidTr="0005138E">
        <w:tc>
          <w:tcPr>
            <w:tcW w:w="10790" w:type="dxa"/>
            <w:gridSpan w:val="3"/>
            <w:tcBorders>
              <w:top w:val="nil"/>
              <w:left w:val="nil"/>
              <w:bottom w:val="nil"/>
              <w:right w:val="nil"/>
            </w:tcBorders>
          </w:tcPr>
          <w:p w14:paraId="747BF25F" w14:textId="77777777" w:rsidR="005324DD" w:rsidRPr="00B611AB" w:rsidRDefault="005324DD" w:rsidP="0005138E">
            <w:pPr>
              <w:rPr>
                <w:bdr w:val="none" w:sz="0" w:space="0" w:color="auto"/>
              </w:rPr>
            </w:pPr>
            <w:r w:rsidRPr="00B611AB">
              <w:rPr>
                <w:bdr w:val="none" w:sz="0" w:space="0" w:color="auto"/>
              </w:rPr>
              <w:t>Th</w:t>
            </w:r>
            <w:r>
              <w:rPr>
                <w:bdr w:val="none" w:sz="0" w:space="0" w:color="auto"/>
              </w:rPr>
              <w:t xml:space="preserve">is project will investigate the toxicity and biological response profiles of extensively characterized engineered nanomaterials. We will perform in vitro and in vivo perinatal developmental tox studies. </w:t>
            </w:r>
          </w:p>
        </w:tc>
      </w:tr>
    </w:tbl>
    <w:p w14:paraId="046E868A" w14:textId="77777777" w:rsidR="005324DD" w:rsidRPr="0089288A" w:rsidRDefault="005324DD" w:rsidP="005324DD">
      <w:pPr>
        <w:pStyle w:val="h3underline"/>
        <w:spacing w:before="0" w:after="0"/>
        <w:rPr>
          <w:rFonts w:ascii="Arial" w:eastAsia="Arial" w:hAnsi="Arial" w:cs="Arial"/>
          <w:b w:val="0"/>
          <w:sz w:val="16"/>
          <w:szCs w:val="16"/>
          <w:u w:val="none"/>
        </w:rPr>
      </w:pPr>
    </w:p>
    <w:tbl>
      <w:tblPr>
        <w:tblStyle w:val="TableGrid"/>
        <w:tblW w:w="10790" w:type="dxa"/>
        <w:tblInd w:w="0" w:type="dxa"/>
        <w:tblLook w:val="04A0" w:firstRow="1" w:lastRow="0" w:firstColumn="1" w:lastColumn="0" w:noHBand="0" w:noVBand="1"/>
      </w:tblPr>
      <w:tblGrid>
        <w:gridCol w:w="5035"/>
        <w:gridCol w:w="2615"/>
        <w:gridCol w:w="3140"/>
      </w:tblGrid>
      <w:tr w:rsidR="005324DD" w:rsidRPr="00B611AB" w14:paraId="0FB3C9D3" w14:textId="77777777" w:rsidTr="0005138E">
        <w:tc>
          <w:tcPr>
            <w:tcW w:w="5035" w:type="dxa"/>
            <w:tcBorders>
              <w:top w:val="nil"/>
              <w:left w:val="nil"/>
              <w:bottom w:val="nil"/>
              <w:right w:val="nil"/>
            </w:tcBorders>
          </w:tcPr>
          <w:p w14:paraId="1F2C209F" w14:textId="24C83316" w:rsidR="005324DD" w:rsidRPr="00B611AB" w:rsidRDefault="005324DD" w:rsidP="0005138E">
            <w:pPr>
              <w:rPr>
                <w:bdr w:val="none" w:sz="0" w:space="0" w:color="auto"/>
              </w:rPr>
            </w:pPr>
            <w:r w:rsidRPr="00B611AB">
              <w:rPr>
                <w:bdr w:val="none" w:sz="0" w:space="0" w:color="auto"/>
              </w:rPr>
              <w:t>P30 ES005605-</w:t>
            </w:r>
            <w:r w:rsidR="00911728">
              <w:rPr>
                <w:bdr w:val="none" w:sz="0" w:space="0" w:color="auto"/>
              </w:rPr>
              <w:t>3</w:t>
            </w:r>
            <w:r w:rsidR="003749B4">
              <w:rPr>
                <w:bdr w:val="none" w:sz="0" w:space="0" w:color="auto"/>
              </w:rPr>
              <w:t>2</w:t>
            </w:r>
          </w:p>
          <w:p w14:paraId="7AEC27FC" w14:textId="77777777" w:rsidR="005324DD" w:rsidRPr="00B611AB" w:rsidRDefault="005324DD" w:rsidP="0005138E">
            <w:pPr>
              <w:rPr>
                <w:bdr w:val="none" w:sz="0" w:space="0" w:color="auto"/>
              </w:rPr>
            </w:pPr>
            <w:r w:rsidRPr="00B611AB">
              <w:rPr>
                <w:bdr w:val="none" w:sz="0" w:space="0" w:color="auto"/>
              </w:rPr>
              <w:t>NIH/NIEHS</w:t>
            </w:r>
            <w:r w:rsidRPr="00B611AB">
              <w:rPr>
                <w:i/>
                <w:bdr w:val="none" w:sz="0" w:space="0" w:color="auto"/>
              </w:rPr>
              <w:t xml:space="preserve"> </w:t>
            </w:r>
            <w:r w:rsidRPr="00B611AB">
              <w:rPr>
                <w:rFonts w:eastAsia="Times New Roman"/>
                <w:bdr w:val="none" w:sz="0" w:space="0" w:color="auto" w:frame="1"/>
              </w:rPr>
              <w:sym w:font="Wingdings" w:char="F0E0"/>
            </w:r>
            <w:r w:rsidRPr="00B611AB">
              <w:rPr>
                <w:rFonts w:eastAsia="Times New Roman"/>
                <w:bdr w:val="none" w:sz="0" w:space="0" w:color="auto" w:frame="1"/>
              </w:rPr>
              <w:t xml:space="preserve"> University of Iowa</w:t>
            </w:r>
          </w:p>
        </w:tc>
        <w:tc>
          <w:tcPr>
            <w:tcW w:w="2615" w:type="dxa"/>
            <w:tcBorders>
              <w:top w:val="nil"/>
              <w:left w:val="nil"/>
              <w:bottom w:val="nil"/>
              <w:right w:val="nil"/>
            </w:tcBorders>
          </w:tcPr>
          <w:p w14:paraId="50C6DF8A" w14:textId="77777777" w:rsidR="005324DD" w:rsidRPr="00B611AB" w:rsidRDefault="005324DD" w:rsidP="0005138E">
            <w:pPr>
              <w:rPr>
                <w:bdr w:val="none" w:sz="0" w:space="0" w:color="auto"/>
              </w:rPr>
            </w:pPr>
            <w:r w:rsidRPr="00B611AB">
              <w:rPr>
                <w:bdr w:val="none" w:sz="0" w:space="0" w:color="auto"/>
              </w:rPr>
              <w:t>Thorne</w:t>
            </w:r>
            <w:r>
              <w:rPr>
                <w:bdr w:val="none" w:sz="0" w:space="0" w:color="auto"/>
              </w:rPr>
              <w:t>/Lehlmer</w:t>
            </w:r>
            <w:r w:rsidRPr="00B611AB">
              <w:rPr>
                <w:bdr w:val="none" w:sz="0" w:space="0" w:color="auto"/>
              </w:rPr>
              <w:t xml:space="preserve"> (PI)</w:t>
            </w:r>
          </w:p>
        </w:tc>
        <w:tc>
          <w:tcPr>
            <w:tcW w:w="3140" w:type="dxa"/>
            <w:tcBorders>
              <w:top w:val="nil"/>
              <w:left w:val="nil"/>
              <w:bottom w:val="nil"/>
              <w:right w:val="nil"/>
            </w:tcBorders>
          </w:tcPr>
          <w:p w14:paraId="787A87AC" w14:textId="3860E3DC" w:rsidR="005324DD" w:rsidRPr="00B611AB" w:rsidRDefault="005324DD" w:rsidP="0005138E">
            <w:pPr>
              <w:rPr>
                <w:bdr w:val="none" w:sz="0" w:space="0" w:color="auto"/>
              </w:rPr>
            </w:pPr>
            <w:r>
              <w:rPr>
                <w:bdr w:val="none" w:sz="0" w:space="0" w:color="auto"/>
              </w:rPr>
              <w:t>0</w:t>
            </w:r>
            <w:r w:rsidRPr="00B611AB">
              <w:rPr>
                <w:bdr w:val="none" w:sz="0" w:space="0" w:color="auto"/>
              </w:rPr>
              <w:t>4/</w:t>
            </w:r>
            <w:r>
              <w:rPr>
                <w:bdr w:val="none" w:sz="0" w:space="0" w:color="auto"/>
              </w:rPr>
              <w:t>0</w:t>
            </w:r>
            <w:r w:rsidRPr="00B611AB">
              <w:rPr>
                <w:bdr w:val="none" w:sz="0" w:space="0" w:color="auto"/>
              </w:rPr>
              <w:t>1/</w:t>
            </w:r>
            <w:r>
              <w:rPr>
                <w:bdr w:val="none" w:sz="0" w:space="0" w:color="auto"/>
              </w:rPr>
              <w:t>90</w:t>
            </w:r>
            <w:r w:rsidRPr="00B611AB">
              <w:rPr>
                <w:bdr w:val="none" w:sz="0" w:space="0" w:color="auto"/>
              </w:rPr>
              <w:t>-</w:t>
            </w:r>
            <w:r>
              <w:rPr>
                <w:bdr w:val="none" w:sz="0" w:space="0" w:color="auto"/>
              </w:rPr>
              <w:t>0</w:t>
            </w:r>
            <w:r w:rsidRPr="00B611AB">
              <w:rPr>
                <w:bdr w:val="none" w:sz="0" w:space="0" w:color="auto"/>
              </w:rPr>
              <w:t>3/31/</w:t>
            </w:r>
            <w:r>
              <w:rPr>
                <w:bdr w:val="none" w:sz="0" w:space="0" w:color="auto"/>
              </w:rPr>
              <w:t>2</w:t>
            </w:r>
            <w:r w:rsidR="00BE1C64">
              <w:rPr>
                <w:bdr w:val="none" w:sz="0" w:space="0" w:color="auto"/>
              </w:rPr>
              <w:t>7</w:t>
            </w:r>
          </w:p>
        </w:tc>
      </w:tr>
      <w:tr w:rsidR="005324DD" w:rsidRPr="00B611AB" w14:paraId="13477149" w14:textId="77777777" w:rsidTr="0005138E">
        <w:tc>
          <w:tcPr>
            <w:tcW w:w="10790" w:type="dxa"/>
            <w:gridSpan w:val="3"/>
            <w:tcBorders>
              <w:top w:val="nil"/>
              <w:left w:val="nil"/>
              <w:bottom w:val="nil"/>
              <w:right w:val="nil"/>
            </w:tcBorders>
          </w:tcPr>
          <w:p w14:paraId="7F524C56" w14:textId="77777777" w:rsidR="005324DD" w:rsidRPr="00B611AB" w:rsidRDefault="005324DD" w:rsidP="0005138E">
            <w:pPr>
              <w:rPr>
                <w:i/>
                <w:bdr w:val="none" w:sz="0" w:space="0" w:color="auto"/>
              </w:rPr>
            </w:pPr>
            <w:r w:rsidRPr="00B611AB">
              <w:rPr>
                <w:i/>
                <w:bdr w:val="none" w:sz="0" w:space="0" w:color="auto"/>
              </w:rPr>
              <w:t>Environmental Health Sciences Research Center (EHSRC)</w:t>
            </w:r>
          </w:p>
        </w:tc>
      </w:tr>
      <w:tr w:rsidR="005324DD" w:rsidRPr="00B611AB" w14:paraId="282659CA" w14:textId="77777777" w:rsidTr="0005138E">
        <w:tc>
          <w:tcPr>
            <w:tcW w:w="10790" w:type="dxa"/>
            <w:gridSpan w:val="3"/>
            <w:tcBorders>
              <w:top w:val="nil"/>
              <w:left w:val="nil"/>
              <w:bottom w:val="nil"/>
              <w:right w:val="nil"/>
            </w:tcBorders>
          </w:tcPr>
          <w:p w14:paraId="36D1C2AE" w14:textId="77777777" w:rsidR="005324DD" w:rsidRPr="00B611AB" w:rsidRDefault="005324DD" w:rsidP="0005138E">
            <w:pPr>
              <w:rPr>
                <w:bdr w:val="none" w:sz="0" w:space="0" w:color="auto"/>
              </w:rPr>
            </w:pPr>
            <w:r w:rsidRPr="00B611AB">
              <w:rPr>
                <w:bdr w:val="none" w:sz="0" w:space="0" w:color="auto"/>
              </w:rPr>
              <w:t>The goal of the EHSRC is to promote research interactions among environmental health researchers at the UI, enhancing ongoing environmental health research and facilitating initiation of new collaborative and interdisciplinary environmental health research focused on rural populations.</w:t>
            </w:r>
          </w:p>
        </w:tc>
      </w:tr>
    </w:tbl>
    <w:p w14:paraId="624F6649" w14:textId="72C60F81" w:rsidR="005324DD" w:rsidRDefault="005324DD" w:rsidP="005324DD">
      <w:pPr>
        <w:rPr>
          <w:sz w:val="16"/>
          <w:szCs w:val="16"/>
          <w:bdr w:val="none" w:sz="0" w:space="0" w:color="auto"/>
        </w:rPr>
      </w:pPr>
    </w:p>
    <w:p w14:paraId="334DBA48" w14:textId="77777777" w:rsidR="00C02696" w:rsidRPr="00B611AB" w:rsidRDefault="00C02696" w:rsidP="005324DD">
      <w:pPr>
        <w:rPr>
          <w:sz w:val="16"/>
          <w:szCs w:val="16"/>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538"/>
        <w:gridCol w:w="3222"/>
      </w:tblGrid>
      <w:tr w:rsidR="005324DD" w:rsidRPr="00B611AB" w14:paraId="17B5CD2E" w14:textId="77777777" w:rsidTr="0005138E">
        <w:tc>
          <w:tcPr>
            <w:tcW w:w="5040" w:type="dxa"/>
            <w:tcBorders>
              <w:top w:val="nil"/>
              <w:left w:val="nil"/>
              <w:bottom w:val="nil"/>
              <w:right w:val="nil"/>
            </w:tcBorders>
            <w:hideMark/>
          </w:tcPr>
          <w:p w14:paraId="1B13D870" w14:textId="58ECA080" w:rsidR="005324DD" w:rsidRPr="00B611AB" w:rsidRDefault="005324DD" w:rsidP="0005138E">
            <w:pPr>
              <w:autoSpaceDE w:val="0"/>
              <w:autoSpaceDN w:val="0"/>
              <w:rPr>
                <w:rFonts w:eastAsia="Times New Roman"/>
                <w:bdr w:val="none" w:sz="0" w:space="0" w:color="auto" w:frame="1"/>
              </w:rPr>
            </w:pPr>
            <w:r w:rsidRPr="00B611AB">
              <w:rPr>
                <w:rFonts w:eastAsia="Times New Roman"/>
                <w:bdr w:val="none" w:sz="0" w:space="0" w:color="auto" w:frame="1"/>
              </w:rPr>
              <w:lastRenderedPageBreak/>
              <w:t>5 P42 ES013661</w:t>
            </w:r>
            <w:r w:rsidR="00911728">
              <w:rPr>
                <w:rFonts w:eastAsia="Times New Roman"/>
                <w:bdr w:val="none" w:sz="0" w:space="0" w:color="auto" w:frame="1"/>
              </w:rPr>
              <w:t>-1</w:t>
            </w:r>
            <w:r w:rsidR="006F650F">
              <w:rPr>
                <w:rFonts w:eastAsia="Times New Roman"/>
                <w:bdr w:val="none" w:sz="0" w:space="0" w:color="auto" w:frame="1"/>
              </w:rPr>
              <w:t>6</w:t>
            </w:r>
          </w:p>
          <w:p w14:paraId="6362F2F6" w14:textId="77777777" w:rsidR="005324DD" w:rsidRPr="00B611AB" w:rsidRDefault="005324DD" w:rsidP="0005138E">
            <w:pPr>
              <w:autoSpaceDE w:val="0"/>
              <w:autoSpaceDN w:val="0"/>
              <w:rPr>
                <w:bdr w:val="none" w:sz="0" w:space="0" w:color="auto"/>
              </w:rPr>
            </w:pPr>
            <w:r w:rsidRPr="00B611AB">
              <w:rPr>
                <w:rFonts w:eastAsia="Times New Roman"/>
                <w:bdr w:val="none" w:sz="0" w:space="0" w:color="auto" w:frame="1"/>
              </w:rPr>
              <w:t xml:space="preserve">NIH/NIEHS </w:t>
            </w:r>
            <w:r w:rsidRPr="00B611AB">
              <w:rPr>
                <w:rFonts w:eastAsia="Times New Roman"/>
                <w:bdr w:val="none" w:sz="0" w:space="0" w:color="auto" w:frame="1"/>
              </w:rPr>
              <w:sym w:font="Wingdings" w:char="F0E0"/>
            </w:r>
            <w:r w:rsidRPr="00B611AB">
              <w:rPr>
                <w:rFonts w:eastAsia="Times New Roman"/>
                <w:bdr w:val="none" w:sz="0" w:space="0" w:color="auto" w:frame="1"/>
              </w:rPr>
              <w:t xml:space="preserve"> University of Iowa</w:t>
            </w:r>
          </w:p>
        </w:tc>
        <w:tc>
          <w:tcPr>
            <w:tcW w:w="2538" w:type="dxa"/>
            <w:tcBorders>
              <w:top w:val="nil"/>
              <w:left w:val="nil"/>
              <w:bottom w:val="nil"/>
              <w:right w:val="nil"/>
            </w:tcBorders>
            <w:hideMark/>
          </w:tcPr>
          <w:p w14:paraId="660FC2FF" w14:textId="77777777" w:rsidR="005324DD" w:rsidRPr="00B611AB" w:rsidRDefault="005324DD" w:rsidP="0005138E">
            <w:pPr>
              <w:rPr>
                <w:bdr w:val="none" w:sz="0" w:space="0" w:color="auto"/>
              </w:rPr>
            </w:pPr>
            <w:r>
              <w:rPr>
                <w:rFonts w:eastAsia="Times New Roman"/>
                <w:bdr w:val="none" w:sz="0" w:space="0" w:color="auto" w:frame="1"/>
              </w:rPr>
              <w:t xml:space="preserve">Hornbuckle </w:t>
            </w:r>
            <w:r w:rsidRPr="00B611AB">
              <w:rPr>
                <w:rFonts w:eastAsia="Times New Roman"/>
                <w:bdr w:val="none" w:sz="0" w:space="0" w:color="auto" w:frame="1"/>
              </w:rPr>
              <w:t>(PI)</w:t>
            </w:r>
            <w:r w:rsidRPr="00B611AB">
              <w:rPr>
                <w:rFonts w:eastAsia="Times New Roman"/>
                <w:bdr w:val="none" w:sz="0" w:space="0" w:color="auto" w:frame="1"/>
              </w:rPr>
              <w:tab/>
            </w:r>
          </w:p>
        </w:tc>
        <w:tc>
          <w:tcPr>
            <w:tcW w:w="3222" w:type="dxa"/>
            <w:tcBorders>
              <w:top w:val="nil"/>
              <w:left w:val="nil"/>
              <w:bottom w:val="nil"/>
              <w:right w:val="nil"/>
            </w:tcBorders>
            <w:hideMark/>
          </w:tcPr>
          <w:p w14:paraId="05B8A59B" w14:textId="77777777" w:rsidR="005324DD" w:rsidRPr="00B611AB" w:rsidRDefault="005324DD" w:rsidP="0005138E">
            <w:pPr>
              <w:rPr>
                <w:bdr w:val="none" w:sz="0" w:space="0" w:color="auto"/>
              </w:rPr>
            </w:pPr>
            <w:r>
              <w:rPr>
                <w:rFonts w:eastAsia="Times New Roman"/>
                <w:bdr w:val="none" w:sz="0" w:space="0" w:color="auto" w:frame="1"/>
              </w:rPr>
              <w:t>0</w:t>
            </w:r>
            <w:r w:rsidRPr="00B611AB">
              <w:rPr>
                <w:rFonts w:eastAsia="Times New Roman"/>
                <w:bdr w:val="none" w:sz="0" w:space="0" w:color="auto" w:frame="1"/>
              </w:rPr>
              <w:t>4/01/05</w:t>
            </w:r>
            <w:r>
              <w:rPr>
                <w:rFonts w:eastAsia="Times New Roman"/>
                <w:bdr w:val="none" w:sz="0" w:space="0" w:color="auto" w:frame="1"/>
              </w:rPr>
              <w:t>-0</w:t>
            </w:r>
            <w:r w:rsidRPr="00B611AB">
              <w:rPr>
                <w:rFonts w:eastAsia="Times New Roman"/>
                <w:bdr w:val="none" w:sz="0" w:space="0" w:color="auto" w:frame="1"/>
              </w:rPr>
              <w:t>3/31/2</w:t>
            </w:r>
            <w:r>
              <w:rPr>
                <w:rFonts w:eastAsia="Times New Roman"/>
                <w:bdr w:val="none" w:sz="0" w:space="0" w:color="auto" w:frame="1"/>
              </w:rPr>
              <w:t>5</w:t>
            </w:r>
          </w:p>
        </w:tc>
      </w:tr>
      <w:tr w:rsidR="005324DD" w:rsidRPr="00B611AB" w14:paraId="6764FDE0" w14:textId="77777777" w:rsidTr="0005138E">
        <w:tc>
          <w:tcPr>
            <w:tcW w:w="10800" w:type="dxa"/>
            <w:gridSpan w:val="3"/>
            <w:tcBorders>
              <w:top w:val="nil"/>
              <w:left w:val="nil"/>
              <w:bottom w:val="nil"/>
              <w:right w:val="nil"/>
            </w:tcBorders>
            <w:hideMark/>
          </w:tcPr>
          <w:p w14:paraId="348D1515" w14:textId="77777777" w:rsidR="005324DD" w:rsidRPr="00B611AB" w:rsidRDefault="005324DD" w:rsidP="0005138E">
            <w:pPr>
              <w:autoSpaceDE w:val="0"/>
              <w:autoSpaceDN w:val="0"/>
              <w:rPr>
                <w:rFonts w:eastAsia="Times New Roman"/>
                <w:bdr w:val="none" w:sz="0" w:space="0" w:color="auto" w:frame="1"/>
              </w:rPr>
            </w:pPr>
            <w:r w:rsidRPr="00B611AB">
              <w:rPr>
                <w:rFonts w:eastAsia="Times New Roman"/>
                <w:i/>
                <w:bdr w:val="none" w:sz="0" w:space="0" w:color="auto" w:frame="1"/>
              </w:rPr>
              <w:t>Superfund Research Program - Semi-volatile PCBs: Sources, Exposures, Toxicities</w:t>
            </w:r>
            <w:r w:rsidRPr="00B611AB">
              <w:rPr>
                <w:rFonts w:eastAsia="Times New Roman"/>
                <w:bdr w:val="none" w:sz="0" w:space="0" w:color="auto" w:frame="1"/>
              </w:rPr>
              <w:t xml:space="preserve"> </w:t>
            </w:r>
          </w:p>
          <w:p w14:paraId="236EA963" w14:textId="5CB83320" w:rsidR="005324DD" w:rsidRPr="007C2397" w:rsidRDefault="005324DD" w:rsidP="0005138E">
            <w:pPr>
              <w:rPr>
                <w:rFonts w:eastAsia="Times New Roman"/>
                <w:bdr w:val="none" w:sz="0" w:space="0" w:color="auto" w:frame="1"/>
              </w:rPr>
            </w:pPr>
            <w:r w:rsidRPr="00B611AB">
              <w:rPr>
                <w:rFonts w:eastAsia="Times New Roman"/>
                <w:i/>
                <w:bdr w:val="none" w:sz="0" w:space="0" w:color="auto" w:frame="1"/>
              </w:rPr>
              <w:t xml:space="preserve">Project </w:t>
            </w:r>
            <w:r w:rsidR="00911728">
              <w:rPr>
                <w:rFonts w:eastAsia="Times New Roman"/>
                <w:i/>
                <w:bdr w:val="none" w:sz="0" w:space="0" w:color="auto" w:frame="1"/>
              </w:rPr>
              <w:t>3</w:t>
            </w:r>
            <w:r w:rsidRPr="00B611AB">
              <w:rPr>
                <w:rFonts w:eastAsia="Times New Roman"/>
                <w:i/>
                <w:bdr w:val="none" w:sz="0" w:space="0" w:color="auto" w:frame="1"/>
              </w:rPr>
              <w:t xml:space="preserve"> – AESOP Study: Characterization of Exposures of Urban &amp; Rural Cohorts to Airborne PCB’s –</w:t>
            </w:r>
            <w:r w:rsidRPr="00B611AB">
              <w:rPr>
                <w:rFonts w:eastAsia="Times New Roman"/>
                <w:bdr w:val="none" w:sz="0" w:space="0" w:color="auto" w:frame="1"/>
              </w:rPr>
              <w:t>Thorne: Project Leader</w:t>
            </w:r>
          </w:p>
        </w:tc>
      </w:tr>
      <w:tr w:rsidR="005324DD" w:rsidRPr="00B611AB" w14:paraId="60156612" w14:textId="77777777" w:rsidTr="0005138E">
        <w:tc>
          <w:tcPr>
            <w:tcW w:w="10800" w:type="dxa"/>
            <w:gridSpan w:val="3"/>
            <w:tcBorders>
              <w:top w:val="nil"/>
              <w:left w:val="nil"/>
              <w:bottom w:val="nil"/>
              <w:right w:val="nil"/>
            </w:tcBorders>
          </w:tcPr>
          <w:p w14:paraId="286C5C15" w14:textId="77777777" w:rsidR="005324DD" w:rsidRPr="00DA1B03" w:rsidRDefault="005324DD" w:rsidP="0005138E">
            <w:pPr>
              <w:autoSpaceDE w:val="0"/>
              <w:autoSpaceDN w:val="0"/>
              <w:rPr>
                <w:rFonts w:eastAsia="Times New Roman"/>
                <w:iCs/>
                <w:bdr w:val="none" w:sz="0" w:space="0" w:color="auto" w:frame="1"/>
              </w:rPr>
            </w:pPr>
            <w:r w:rsidRPr="00DA1B03">
              <w:rPr>
                <w:rFonts w:eastAsia="Times New Roman"/>
                <w:iCs/>
                <w:bdr w:val="none" w:sz="0" w:space="0" w:color="auto" w:frame="1"/>
              </w:rPr>
              <w:t>The AESOP Study is a longitudinal cohort study of adolescent children and their mothers. The goal is to characterize exposures and adverse health effects of polychlorinated biphenyls.</w:t>
            </w:r>
          </w:p>
        </w:tc>
      </w:tr>
    </w:tbl>
    <w:p w14:paraId="2FF9B594" w14:textId="7276FB17" w:rsidR="005324DD" w:rsidRDefault="005324DD" w:rsidP="005324DD">
      <w:pPr>
        <w:rPr>
          <w:sz w:val="16"/>
          <w:szCs w:val="16"/>
          <w:bdr w:val="none" w:sz="0" w:space="0" w:color="auto"/>
        </w:rPr>
      </w:pPr>
    </w:p>
    <w:tbl>
      <w:tblPr>
        <w:tblStyle w:val="TableGrid"/>
        <w:tblW w:w="10800" w:type="dxa"/>
        <w:tblInd w:w="0" w:type="dxa"/>
        <w:tblLook w:val="04A0" w:firstRow="1" w:lastRow="0" w:firstColumn="1" w:lastColumn="0" w:noHBand="0" w:noVBand="1"/>
      </w:tblPr>
      <w:tblGrid>
        <w:gridCol w:w="5040"/>
        <w:gridCol w:w="2520"/>
        <w:gridCol w:w="3240"/>
      </w:tblGrid>
      <w:tr w:rsidR="004849B7" w:rsidRPr="00B611AB" w14:paraId="01E2FC9C" w14:textId="77777777" w:rsidTr="00CC52CD">
        <w:trPr>
          <w:trHeight w:val="450"/>
        </w:trPr>
        <w:tc>
          <w:tcPr>
            <w:tcW w:w="5040" w:type="dxa"/>
            <w:tcBorders>
              <w:top w:val="nil"/>
              <w:left w:val="nil"/>
              <w:bottom w:val="nil"/>
              <w:right w:val="nil"/>
            </w:tcBorders>
          </w:tcPr>
          <w:p w14:paraId="0BB3852A" w14:textId="3FE29407" w:rsidR="004849B7" w:rsidRDefault="004849B7" w:rsidP="00CC52CD">
            <w:r>
              <w:t>U</w:t>
            </w:r>
            <w:r w:rsidRPr="004E7113">
              <w:t>01</w:t>
            </w:r>
            <w:r>
              <w:t xml:space="preserve"> </w:t>
            </w:r>
            <w:r w:rsidRPr="004E7113">
              <w:t>AI126614</w:t>
            </w:r>
          </w:p>
          <w:p w14:paraId="01085A87" w14:textId="77777777" w:rsidR="004849B7" w:rsidRPr="00B611AB" w:rsidRDefault="004849B7" w:rsidP="00CC52CD">
            <w:pPr>
              <w:rPr>
                <w:szCs w:val="24"/>
                <w:bdr w:val="none" w:sz="0" w:space="0" w:color="auto" w:frame="1"/>
              </w:rPr>
            </w:pPr>
            <w:r w:rsidRPr="004E7113">
              <w:rPr>
                <w:szCs w:val="24"/>
                <w:bdr w:val="none" w:sz="0" w:space="0" w:color="auto" w:frame="1"/>
              </w:rPr>
              <w:t>NIH/N</w:t>
            </w:r>
            <w:r>
              <w:rPr>
                <w:szCs w:val="24"/>
                <w:bdr w:val="none" w:sz="0" w:space="0" w:color="auto" w:frame="1"/>
              </w:rPr>
              <w:t>IAID</w:t>
            </w:r>
            <w:r w:rsidRPr="004E7113">
              <w:rPr>
                <w:szCs w:val="24"/>
                <w:bdr w:val="none" w:sz="0" w:space="0" w:color="auto" w:frame="1"/>
              </w:rPr>
              <w:t xml:space="preserve"> </w:t>
            </w:r>
            <w:r w:rsidRPr="004E7113">
              <w:rPr>
                <w:szCs w:val="24"/>
                <w:bdr w:val="none" w:sz="0" w:space="0" w:color="auto" w:frame="1"/>
              </w:rPr>
              <w:sym w:font="Wingdings" w:char="F0E0"/>
            </w:r>
            <w:r w:rsidRPr="00B611AB">
              <w:rPr>
                <w:szCs w:val="24"/>
                <w:bdr w:val="none" w:sz="0" w:space="0" w:color="auto" w:frame="1"/>
              </w:rPr>
              <w:t xml:space="preserve"> </w:t>
            </w:r>
            <w:r>
              <w:rPr>
                <w:szCs w:val="24"/>
                <w:bdr w:val="none" w:sz="0" w:space="0" w:color="auto" w:frame="1"/>
              </w:rPr>
              <w:t>Boston Children’s Hospital</w:t>
            </w:r>
          </w:p>
          <w:p w14:paraId="38859E59" w14:textId="77777777" w:rsidR="004849B7" w:rsidRDefault="004849B7" w:rsidP="00CC52CD">
            <w:r w:rsidRPr="00B611AB">
              <w:rPr>
                <w:szCs w:val="24"/>
                <w:bdr w:val="none" w:sz="0" w:space="0" w:color="auto" w:frame="1"/>
              </w:rPr>
              <w:t xml:space="preserve">Thorne: </w:t>
            </w:r>
            <w:r>
              <w:rPr>
                <w:szCs w:val="24"/>
                <w:bdr w:val="none" w:sz="0" w:space="0" w:color="auto" w:frame="1"/>
              </w:rPr>
              <w:t>P</w:t>
            </w:r>
            <w:r w:rsidRPr="00B611AB">
              <w:rPr>
                <w:szCs w:val="24"/>
                <w:bdr w:val="none" w:sz="0" w:space="0" w:color="auto" w:frame="1"/>
              </w:rPr>
              <w:t>I</w:t>
            </w:r>
            <w:r>
              <w:rPr>
                <w:szCs w:val="24"/>
                <w:bdr w:val="none" w:sz="0" w:space="0" w:color="auto" w:frame="1"/>
              </w:rPr>
              <w:t xml:space="preserve"> of Subaward</w:t>
            </w:r>
          </w:p>
        </w:tc>
        <w:tc>
          <w:tcPr>
            <w:tcW w:w="2520" w:type="dxa"/>
            <w:tcBorders>
              <w:top w:val="nil"/>
              <w:left w:val="nil"/>
              <w:bottom w:val="nil"/>
              <w:right w:val="nil"/>
            </w:tcBorders>
          </w:tcPr>
          <w:p w14:paraId="791883BD" w14:textId="77777777" w:rsidR="004849B7" w:rsidRDefault="004849B7" w:rsidP="00CC52CD">
            <w:pPr>
              <w:rPr>
                <w:szCs w:val="24"/>
                <w:bdr w:val="none" w:sz="0" w:space="0" w:color="auto" w:frame="1"/>
              </w:rPr>
            </w:pPr>
            <w:r>
              <w:rPr>
                <w:szCs w:val="24"/>
                <w:bdr w:val="none" w:sz="0" w:space="0" w:color="auto" w:frame="1"/>
              </w:rPr>
              <w:t>Phipitanakul</w:t>
            </w:r>
            <w:r w:rsidRPr="00B611AB">
              <w:rPr>
                <w:szCs w:val="24"/>
                <w:bdr w:val="none" w:sz="0" w:space="0" w:color="auto" w:frame="1"/>
              </w:rPr>
              <w:t xml:space="preserve"> (PI)</w:t>
            </w:r>
          </w:p>
        </w:tc>
        <w:tc>
          <w:tcPr>
            <w:tcW w:w="3240" w:type="dxa"/>
            <w:tcBorders>
              <w:top w:val="nil"/>
              <w:left w:val="nil"/>
              <w:bottom w:val="nil"/>
              <w:right w:val="nil"/>
            </w:tcBorders>
          </w:tcPr>
          <w:p w14:paraId="3C82D2EF" w14:textId="77777777" w:rsidR="004849B7" w:rsidRPr="00B611AB" w:rsidRDefault="004849B7" w:rsidP="00CC52CD">
            <w:pPr>
              <w:rPr>
                <w:bdr w:val="none" w:sz="0" w:space="0" w:color="auto" w:frame="1"/>
              </w:rPr>
            </w:pPr>
            <w:r w:rsidRPr="00B611AB">
              <w:rPr>
                <w:szCs w:val="24"/>
                <w:bdr w:val="none" w:sz="0" w:space="0" w:color="auto" w:frame="1"/>
              </w:rPr>
              <w:t>0</w:t>
            </w:r>
            <w:r>
              <w:rPr>
                <w:szCs w:val="24"/>
                <w:bdr w:val="none" w:sz="0" w:space="0" w:color="auto" w:frame="1"/>
              </w:rPr>
              <w:t>7</w:t>
            </w:r>
            <w:r w:rsidRPr="00B611AB">
              <w:rPr>
                <w:szCs w:val="24"/>
                <w:bdr w:val="none" w:sz="0" w:space="0" w:color="auto" w:frame="1"/>
              </w:rPr>
              <w:t>/</w:t>
            </w:r>
            <w:r>
              <w:rPr>
                <w:szCs w:val="24"/>
                <w:bdr w:val="none" w:sz="0" w:space="0" w:color="auto" w:frame="1"/>
              </w:rPr>
              <w:t>20</w:t>
            </w:r>
            <w:r w:rsidRPr="00B611AB">
              <w:rPr>
                <w:szCs w:val="24"/>
                <w:bdr w:val="none" w:sz="0" w:space="0" w:color="auto" w:frame="1"/>
              </w:rPr>
              <w:t>/1</w:t>
            </w:r>
            <w:r>
              <w:rPr>
                <w:szCs w:val="24"/>
                <w:bdr w:val="none" w:sz="0" w:space="0" w:color="auto" w:frame="1"/>
              </w:rPr>
              <w:t>6</w:t>
            </w:r>
            <w:r w:rsidRPr="00B611AB">
              <w:rPr>
                <w:szCs w:val="24"/>
                <w:bdr w:val="none" w:sz="0" w:space="0" w:color="auto" w:frame="1"/>
              </w:rPr>
              <w:t xml:space="preserve"> – </w:t>
            </w:r>
            <w:r>
              <w:rPr>
                <w:szCs w:val="24"/>
                <w:bdr w:val="none" w:sz="0" w:space="0" w:color="auto" w:frame="1"/>
              </w:rPr>
              <w:t>06</w:t>
            </w:r>
            <w:r w:rsidRPr="00B611AB">
              <w:rPr>
                <w:szCs w:val="24"/>
                <w:bdr w:val="none" w:sz="0" w:space="0" w:color="auto" w:frame="1"/>
              </w:rPr>
              <w:t>/</w:t>
            </w:r>
            <w:r>
              <w:rPr>
                <w:szCs w:val="24"/>
                <w:bdr w:val="none" w:sz="0" w:space="0" w:color="auto" w:frame="1"/>
              </w:rPr>
              <w:t>30</w:t>
            </w:r>
            <w:r w:rsidRPr="00B611AB">
              <w:rPr>
                <w:szCs w:val="24"/>
                <w:bdr w:val="none" w:sz="0" w:space="0" w:color="auto" w:frame="1"/>
              </w:rPr>
              <w:t>/</w:t>
            </w:r>
            <w:r>
              <w:rPr>
                <w:szCs w:val="24"/>
                <w:bdr w:val="none" w:sz="0" w:space="0" w:color="auto" w:frame="1"/>
              </w:rPr>
              <w:t>23</w:t>
            </w:r>
          </w:p>
        </w:tc>
      </w:tr>
      <w:tr w:rsidR="004849B7" w:rsidRPr="00B611AB" w14:paraId="65A600C3" w14:textId="77777777" w:rsidTr="00CC52CD">
        <w:tc>
          <w:tcPr>
            <w:tcW w:w="10800" w:type="dxa"/>
            <w:gridSpan w:val="3"/>
            <w:tcBorders>
              <w:top w:val="nil"/>
              <w:left w:val="nil"/>
              <w:bottom w:val="nil"/>
              <w:right w:val="nil"/>
            </w:tcBorders>
            <w:hideMark/>
          </w:tcPr>
          <w:p w14:paraId="7C01A1B8" w14:textId="77777777" w:rsidR="004849B7" w:rsidRPr="00B611AB" w:rsidRDefault="004849B7" w:rsidP="00CC52CD">
            <w:pPr>
              <w:rPr>
                <w:bdr w:val="none" w:sz="0" w:space="0" w:color="auto" w:frame="1"/>
              </w:rPr>
            </w:pPr>
            <w:r w:rsidRPr="004E7113">
              <w:rPr>
                <w:i/>
                <w:szCs w:val="24"/>
                <w:bdr w:val="none" w:sz="0" w:space="0" w:color="auto" w:frame="1"/>
              </w:rPr>
              <w:t xml:space="preserve">Controlling and </w:t>
            </w:r>
            <w:r>
              <w:rPr>
                <w:i/>
                <w:szCs w:val="24"/>
                <w:bdr w:val="none" w:sz="0" w:space="0" w:color="auto" w:frame="1"/>
              </w:rPr>
              <w:t>P</w:t>
            </w:r>
            <w:r w:rsidRPr="004E7113">
              <w:rPr>
                <w:i/>
                <w:szCs w:val="24"/>
                <w:bdr w:val="none" w:sz="0" w:space="0" w:color="auto" w:frame="1"/>
              </w:rPr>
              <w:t xml:space="preserve">reventing </w:t>
            </w:r>
            <w:r>
              <w:rPr>
                <w:i/>
                <w:szCs w:val="24"/>
                <w:bdr w:val="none" w:sz="0" w:space="0" w:color="auto" w:frame="1"/>
              </w:rPr>
              <w:t>A</w:t>
            </w:r>
            <w:r w:rsidRPr="004E7113">
              <w:rPr>
                <w:i/>
                <w:szCs w:val="24"/>
                <w:bdr w:val="none" w:sz="0" w:space="0" w:color="auto" w:frame="1"/>
              </w:rPr>
              <w:t xml:space="preserve">sthma </w:t>
            </w:r>
            <w:r>
              <w:rPr>
                <w:i/>
                <w:szCs w:val="24"/>
                <w:bdr w:val="none" w:sz="0" w:space="0" w:color="auto" w:frame="1"/>
              </w:rPr>
              <w:t>P</w:t>
            </w:r>
            <w:r w:rsidRPr="004E7113">
              <w:rPr>
                <w:i/>
                <w:szCs w:val="24"/>
                <w:bdr w:val="none" w:sz="0" w:space="0" w:color="auto" w:frame="1"/>
              </w:rPr>
              <w:t>rogre</w:t>
            </w:r>
            <w:r>
              <w:rPr>
                <w:i/>
                <w:szCs w:val="24"/>
                <w:bdr w:val="none" w:sz="0" w:space="0" w:color="auto" w:frame="1"/>
              </w:rPr>
              <w:t>ssion and Severity in Kids</w:t>
            </w:r>
          </w:p>
        </w:tc>
      </w:tr>
      <w:tr w:rsidR="004849B7" w:rsidRPr="00B611AB" w14:paraId="175A18E6" w14:textId="77777777" w:rsidTr="00CC52CD">
        <w:trPr>
          <w:trHeight w:val="80"/>
        </w:trPr>
        <w:tc>
          <w:tcPr>
            <w:tcW w:w="10800" w:type="dxa"/>
            <w:gridSpan w:val="3"/>
            <w:tcBorders>
              <w:top w:val="nil"/>
              <w:left w:val="nil"/>
              <w:bottom w:val="nil"/>
              <w:right w:val="nil"/>
            </w:tcBorders>
            <w:hideMark/>
          </w:tcPr>
          <w:p w14:paraId="2C781F6B" w14:textId="77777777" w:rsidR="004849B7" w:rsidRPr="00B611AB" w:rsidRDefault="004849B7" w:rsidP="00CC52CD">
            <w:pPr>
              <w:rPr>
                <w:bdr w:val="none" w:sz="0" w:space="0" w:color="auto" w:frame="1"/>
              </w:rPr>
            </w:pPr>
            <w:r w:rsidRPr="00A23315">
              <w:t xml:space="preserve">This </w:t>
            </w:r>
            <w:r>
              <w:t>study seeks to</w:t>
            </w:r>
            <w:r w:rsidRPr="00A23315">
              <w:t xml:space="preserve"> prevention progression from allergic wheezing to asthma and will address the hypothesis that treatment of high-risk children with allergic sensitization and wheeze with omalizumab (anti-IgE) will alter disease progression as reflected by a reduced active diagnosis of asthma 2 yr after completion of therapy.</w:t>
            </w:r>
          </w:p>
        </w:tc>
      </w:tr>
    </w:tbl>
    <w:p w14:paraId="598BA381" w14:textId="7679FEE7" w:rsidR="004849B7" w:rsidRDefault="004849B7" w:rsidP="005324DD">
      <w:pPr>
        <w:rPr>
          <w:sz w:val="16"/>
          <w:szCs w:val="16"/>
          <w:bdr w:val="none" w:sz="0" w:space="0" w:color="auto"/>
        </w:rPr>
      </w:pPr>
    </w:p>
    <w:tbl>
      <w:tblPr>
        <w:tblStyle w:val="TableGrid"/>
        <w:tblW w:w="10800" w:type="dxa"/>
        <w:tblInd w:w="0" w:type="dxa"/>
        <w:tblLook w:val="04A0" w:firstRow="1" w:lastRow="0" w:firstColumn="1" w:lastColumn="0" w:noHBand="0" w:noVBand="1"/>
      </w:tblPr>
      <w:tblGrid>
        <w:gridCol w:w="5040"/>
        <w:gridCol w:w="2520"/>
        <w:gridCol w:w="3240"/>
      </w:tblGrid>
      <w:tr w:rsidR="004849B7" w:rsidRPr="00B611AB" w14:paraId="025F3A8C" w14:textId="77777777" w:rsidTr="00D214F0">
        <w:trPr>
          <w:trHeight w:val="450"/>
        </w:trPr>
        <w:tc>
          <w:tcPr>
            <w:tcW w:w="5040" w:type="dxa"/>
            <w:tcBorders>
              <w:top w:val="nil"/>
              <w:left w:val="nil"/>
              <w:bottom w:val="nil"/>
              <w:right w:val="nil"/>
            </w:tcBorders>
          </w:tcPr>
          <w:p w14:paraId="620AFF1B" w14:textId="33855060" w:rsidR="004849B7" w:rsidRDefault="00336E21" w:rsidP="00D214F0">
            <w:r>
              <w:t>R</w:t>
            </w:r>
            <w:r w:rsidR="004849B7" w:rsidRPr="004E7113">
              <w:t>01</w:t>
            </w:r>
            <w:r w:rsidR="004849B7">
              <w:t xml:space="preserve"> </w:t>
            </w:r>
            <w:r w:rsidR="006F650F">
              <w:t>ES030100</w:t>
            </w:r>
            <w:r w:rsidR="001F6AC4">
              <w:t>-04</w:t>
            </w:r>
          </w:p>
          <w:p w14:paraId="5AE98952" w14:textId="1AAD4CAC" w:rsidR="004849B7" w:rsidRPr="00B611AB" w:rsidRDefault="004849B7" w:rsidP="00D214F0">
            <w:pPr>
              <w:rPr>
                <w:szCs w:val="24"/>
                <w:bdr w:val="none" w:sz="0" w:space="0" w:color="auto" w:frame="1"/>
              </w:rPr>
            </w:pPr>
            <w:r w:rsidRPr="004E7113">
              <w:rPr>
                <w:szCs w:val="24"/>
                <w:bdr w:val="none" w:sz="0" w:space="0" w:color="auto" w:frame="1"/>
              </w:rPr>
              <w:t>NIH/N</w:t>
            </w:r>
            <w:r>
              <w:rPr>
                <w:szCs w:val="24"/>
                <w:bdr w:val="none" w:sz="0" w:space="0" w:color="auto" w:frame="1"/>
              </w:rPr>
              <w:t>I</w:t>
            </w:r>
            <w:r w:rsidR="006F650F">
              <w:rPr>
                <w:szCs w:val="24"/>
                <w:bdr w:val="none" w:sz="0" w:space="0" w:color="auto" w:frame="1"/>
              </w:rPr>
              <w:t>EHS</w:t>
            </w:r>
            <w:r w:rsidRPr="004E7113">
              <w:rPr>
                <w:szCs w:val="24"/>
                <w:bdr w:val="none" w:sz="0" w:space="0" w:color="auto" w:frame="1"/>
              </w:rPr>
              <w:t xml:space="preserve"> </w:t>
            </w:r>
            <w:r w:rsidRPr="004E7113">
              <w:rPr>
                <w:szCs w:val="24"/>
                <w:bdr w:val="none" w:sz="0" w:space="0" w:color="auto" w:frame="1"/>
              </w:rPr>
              <w:sym w:font="Wingdings" w:char="F0E0"/>
            </w:r>
            <w:r w:rsidRPr="00B611AB">
              <w:rPr>
                <w:szCs w:val="24"/>
                <w:bdr w:val="none" w:sz="0" w:space="0" w:color="auto" w:frame="1"/>
              </w:rPr>
              <w:t xml:space="preserve"> </w:t>
            </w:r>
            <w:r>
              <w:rPr>
                <w:szCs w:val="24"/>
                <w:bdr w:val="none" w:sz="0" w:space="0" w:color="auto" w:frame="1"/>
              </w:rPr>
              <w:t>Boston Children’s Hospital</w:t>
            </w:r>
          </w:p>
          <w:p w14:paraId="4C45F8D0" w14:textId="55B1F88A" w:rsidR="004849B7" w:rsidRDefault="004849B7" w:rsidP="00D214F0">
            <w:r w:rsidRPr="00B611AB">
              <w:rPr>
                <w:szCs w:val="24"/>
                <w:bdr w:val="none" w:sz="0" w:space="0" w:color="auto" w:frame="1"/>
              </w:rPr>
              <w:t xml:space="preserve">Thorne: </w:t>
            </w:r>
            <w:r>
              <w:rPr>
                <w:szCs w:val="24"/>
                <w:bdr w:val="none" w:sz="0" w:space="0" w:color="auto" w:frame="1"/>
              </w:rPr>
              <w:t>P</w:t>
            </w:r>
            <w:r w:rsidRPr="00B611AB">
              <w:rPr>
                <w:szCs w:val="24"/>
                <w:bdr w:val="none" w:sz="0" w:space="0" w:color="auto" w:frame="1"/>
              </w:rPr>
              <w:t>I</w:t>
            </w:r>
            <w:r>
              <w:rPr>
                <w:szCs w:val="24"/>
                <w:bdr w:val="none" w:sz="0" w:space="0" w:color="auto" w:frame="1"/>
              </w:rPr>
              <w:t xml:space="preserve"> of Subaward</w:t>
            </w:r>
            <w:r w:rsidR="003749B4">
              <w:rPr>
                <w:szCs w:val="24"/>
                <w:bdr w:val="none" w:sz="0" w:space="0" w:color="auto" w:frame="1"/>
              </w:rPr>
              <w:t xml:space="preserve"> K464600-CG</w:t>
            </w:r>
          </w:p>
        </w:tc>
        <w:tc>
          <w:tcPr>
            <w:tcW w:w="2520" w:type="dxa"/>
            <w:tcBorders>
              <w:top w:val="nil"/>
              <w:left w:val="nil"/>
              <w:bottom w:val="nil"/>
              <w:right w:val="nil"/>
            </w:tcBorders>
          </w:tcPr>
          <w:p w14:paraId="33671E3A" w14:textId="0C835250" w:rsidR="004849B7" w:rsidRDefault="006F650F" w:rsidP="00D214F0">
            <w:pPr>
              <w:rPr>
                <w:szCs w:val="24"/>
                <w:bdr w:val="none" w:sz="0" w:space="0" w:color="auto" w:frame="1"/>
              </w:rPr>
            </w:pPr>
            <w:r>
              <w:rPr>
                <w:szCs w:val="24"/>
                <w:bdr w:val="none" w:sz="0" w:space="0" w:color="auto" w:frame="1"/>
              </w:rPr>
              <w:t>Gaffin</w:t>
            </w:r>
            <w:r w:rsidR="004849B7" w:rsidRPr="00B611AB">
              <w:rPr>
                <w:szCs w:val="24"/>
                <w:bdr w:val="none" w:sz="0" w:space="0" w:color="auto" w:frame="1"/>
              </w:rPr>
              <w:t xml:space="preserve"> (PI)</w:t>
            </w:r>
          </w:p>
        </w:tc>
        <w:tc>
          <w:tcPr>
            <w:tcW w:w="3240" w:type="dxa"/>
            <w:tcBorders>
              <w:top w:val="nil"/>
              <w:left w:val="nil"/>
              <w:bottom w:val="nil"/>
              <w:right w:val="nil"/>
            </w:tcBorders>
          </w:tcPr>
          <w:p w14:paraId="15FF68AC" w14:textId="0CAF88DD" w:rsidR="004849B7" w:rsidRPr="00B611AB" w:rsidRDefault="004849B7" w:rsidP="00D214F0">
            <w:pPr>
              <w:rPr>
                <w:bdr w:val="none" w:sz="0" w:space="0" w:color="auto" w:frame="1"/>
              </w:rPr>
            </w:pPr>
            <w:r w:rsidRPr="00B611AB">
              <w:rPr>
                <w:szCs w:val="24"/>
                <w:bdr w:val="none" w:sz="0" w:space="0" w:color="auto" w:frame="1"/>
              </w:rPr>
              <w:t>0</w:t>
            </w:r>
            <w:r w:rsidR="001F6AC4">
              <w:rPr>
                <w:szCs w:val="24"/>
                <w:bdr w:val="none" w:sz="0" w:space="0" w:color="auto" w:frame="1"/>
              </w:rPr>
              <w:t>1</w:t>
            </w:r>
            <w:r w:rsidRPr="00B611AB">
              <w:rPr>
                <w:szCs w:val="24"/>
                <w:bdr w:val="none" w:sz="0" w:space="0" w:color="auto" w:frame="1"/>
              </w:rPr>
              <w:t>/</w:t>
            </w:r>
            <w:r w:rsidR="001F6AC4">
              <w:rPr>
                <w:szCs w:val="24"/>
                <w:bdr w:val="none" w:sz="0" w:space="0" w:color="auto" w:frame="1"/>
              </w:rPr>
              <w:t>15</w:t>
            </w:r>
            <w:r w:rsidRPr="00B611AB">
              <w:rPr>
                <w:szCs w:val="24"/>
                <w:bdr w:val="none" w:sz="0" w:space="0" w:color="auto" w:frame="1"/>
              </w:rPr>
              <w:t>/1</w:t>
            </w:r>
            <w:r w:rsidR="001F6AC4">
              <w:rPr>
                <w:szCs w:val="24"/>
                <w:bdr w:val="none" w:sz="0" w:space="0" w:color="auto" w:frame="1"/>
              </w:rPr>
              <w:t>9</w:t>
            </w:r>
            <w:r w:rsidRPr="00B611AB">
              <w:rPr>
                <w:szCs w:val="24"/>
                <w:bdr w:val="none" w:sz="0" w:space="0" w:color="auto" w:frame="1"/>
              </w:rPr>
              <w:t xml:space="preserve"> – </w:t>
            </w:r>
            <w:r w:rsidR="00207D53">
              <w:rPr>
                <w:szCs w:val="24"/>
                <w:bdr w:val="none" w:sz="0" w:space="0" w:color="auto" w:frame="1"/>
              </w:rPr>
              <w:t>12</w:t>
            </w:r>
            <w:r w:rsidRPr="00B611AB">
              <w:rPr>
                <w:szCs w:val="24"/>
                <w:bdr w:val="none" w:sz="0" w:space="0" w:color="auto" w:frame="1"/>
              </w:rPr>
              <w:t>/</w:t>
            </w:r>
            <w:r>
              <w:rPr>
                <w:szCs w:val="24"/>
                <w:bdr w:val="none" w:sz="0" w:space="0" w:color="auto" w:frame="1"/>
              </w:rPr>
              <w:t>3</w:t>
            </w:r>
            <w:r w:rsidR="00207D53">
              <w:rPr>
                <w:szCs w:val="24"/>
                <w:bdr w:val="none" w:sz="0" w:space="0" w:color="auto" w:frame="1"/>
              </w:rPr>
              <w:t>1</w:t>
            </w:r>
            <w:r w:rsidRPr="00B611AB">
              <w:rPr>
                <w:szCs w:val="24"/>
                <w:bdr w:val="none" w:sz="0" w:space="0" w:color="auto" w:frame="1"/>
              </w:rPr>
              <w:t>/</w:t>
            </w:r>
            <w:r>
              <w:rPr>
                <w:szCs w:val="24"/>
                <w:bdr w:val="none" w:sz="0" w:space="0" w:color="auto" w:frame="1"/>
              </w:rPr>
              <w:t>23</w:t>
            </w:r>
          </w:p>
        </w:tc>
      </w:tr>
      <w:tr w:rsidR="004849B7" w:rsidRPr="00B611AB" w14:paraId="65A101D9" w14:textId="77777777" w:rsidTr="00D214F0">
        <w:tc>
          <w:tcPr>
            <w:tcW w:w="10800" w:type="dxa"/>
            <w:gridSpan w:val="3"/>
            <w:tcBorders>
              <w:top w:val="nil"/>
              <w:left w:val="nil"/>
              <w:bottom w:val="nil"/>
              <w:right w:val="nil"/>
            </w:tcBorders>
            <w:hideMark/>
          </w:tcPr>
          <w:p w14:paraId="1A55B8D8" w14:textId="02D26A38" w:rsidR="004849B7" w:rsidRPr="00B611AB" w:rsidRDefault="00F31BFB" w:rsidP="00D214F0">
            <w:pPr>
              <w:rPr>
                <w:bdr w:val="none" w:sz="0" w:space="0" w:color="auto" w:frame="1"/>
              </w:rPr>
            </w:pPr>
            <w:r w:rsidRPr="00F31BFB">
              <w:rPr>
                <w:i/>
                <w:szCs w:val="24"/>
                <w:bdr w:val="none" w:sz="0" w:space="0" w:color="auto" w:frame="1"/>
              </w:rPr>
              <w:t xml:space="preserve">Indoor </w:t>
            </w:r>
            <w:r>
              <w:rPr>
                <w:i/>
                <w:szCs w:val="24"/>
                <w:bdr w:val="none" w:sz="0" w:space="0" w:color="auto" w:frame="1"/>
              </w:rPr>
              <w:t>A</w:t>
            </w:r>
            <w:r w:rsidRPr="00F31BFB">
              <w:rPr>
                <w:i/>
                <w:szCs w:val="24"/>
                <w:bdr w:val="none" w:sz="0" w:space="0" w:color="auto" w:frame="1"/>
              </w:rPr>
              <w:t xml:space="preserve">ir </w:t>
            </w:r>
            <w:r>
              <w:rPr>
                <w:i/>
                <w:szCs w:val="24"/>
                <w:bdr w:val="none" w:sz="0" w:space="0" w:color="auto" w:frame="1"/>
              </w:rPr>
              <w:t>Q</w:t>
            </w:r>
            <w:r w:rsidRPr="00F31BFB">
              <w:rPr>
                <w:i/>
                <w:szCs w:val="24"/>
                <w:bdr w:val="none" w:sz="0" w:space="0" w:color="auto" w:frame="1"/>
              </w:rPr>
              <w:t xml:space="preserve">uality and </w:t>
            </w:r>
            <w:r>
              <w:rPr>
                <w:i/>
                <w:szCs w:val="24"/>
                <w:bdr w:val="none" w:sz="0" w:space="0" w:color="auto" w:frame="1"/>
              </w:rPr>
              <w:t>R</w:t>
            </w:r>
            <w:r w:rsidRPr="00F31BFB">
              <w:rPr>
                <w:i/>
                <w:szCs w:val="24"/>
                <w:bdr w:val="none" w:sz="0" w:space="0" w:color="auto" w:frame="1"/>
              </w:rPr>
              <w:t xml:space="preserve">espiratory </w:t>
            </w:r>
            <w:r>
              <w:rPr>
                <w:i/>
                <w:szCs w:val="24"/>
                <w:bdr w:val="none" w:sz="0" w:space="0" w:color="auto" w:frame="1"/>
              </w:rPr>
              <w:t>M</w:t>
            </w:r>
            <w:r w:rsidRPr="00F31BFB">
              <w:rPr>
                <w:i/>
                <w:szCs w:val="24"/>
                <w:bdr w:val="none" w:sz="0" w:space="0" w:color="auto" w:frame="1"/>
              </w:rPr>
              <w:t xml:space="preserve">orbidity in </w:t>
            </w:r>
            <w:r>
              <w:rPr>
                <w:i/>
                <w:szCs w:val="24"/>
                <w:bdr w:val="none" w:sz="0" w:space="0" w:color="auto" w:frame="1"/>
              </w:rPr>
              <w:t>S</w:t>
            </w:r>
            <w:r w:rsidRPr="00F31BFB">
              <w:rPr>
                <w:i/>
                <w:szCs w:val="24"/>
                <w:bdr w:val="none" w:sz="0" w:space="0" w:color="auto" w:frame="1"/>
              </w:rPr>
              <w:t xml:space="preserve">chool-aged </w:t>
            </w:r>
            <w:r>
              <w:rPr>
                <w:i/>
                <w:szCs w:val="24"/>
                <w:bdr w:val="none" w:sz="0" w:space="0" w:color="auto" w:frame="1"/>
              </w:rPr>
              <w:t>C</w:t>
            </w:r>
            <w:r w:rsidRPr="00F31BFB">
              <w:rPr>
                <w:i/>
                <w:szCs w:val="24"/>
                <w:bdr w:val="none" w:sz="0" w:space="0" w:color="auto" w:frame="1"/>
              </w:rPr>
              <w:t xml:space="preserve">hildren with </w:t>
            </w:r>
            <w:r>
              <w:rPr>
                <w:i/>
                <w:szCs w:val="24"/>
                <w:bdr w:val="none" w:sz="0" w:space="0" w:color="auto" w:frame="1"/>
              </w:rPr>
              <w:t>B</w:t>
            </w:r>
            <w:r w:rsidRPr="00F31BFB">
              <w:rPr>
                <w:i/>
                <w:szCs w:val="24"/>
                <w:bdr w:val="none" w:sz="0" w:space="0" w:color="auto" w:frame="1"/>
              </w:rPr>
              <w:t xml:space="preserve">ronchopulmonary </w:t>
            </w:r>
            <w:r>
              <w:rPr>
                <w:i/>
                <w:szCs w:val="24"/>
                <w:bdr w:val="none" w:sz="0" w:space="0" w:color="auto" w:frame="1"/>
              </w:rPr>
              <w:t>D</w:t>
            </w:r>
            <w:r w:rsidRPr="00F31BFB">
              <w:rPr>
                <w:i/>
                <w:szCs w:val="24"/>
                <w:bdr w:val="none" w:sz="0" w:space="0" w:color="auto" w:frame="1"/>
              </w:rPr>
              <w:t>ysplasia</w:t>
            </w:r>
          </w:p>
        </w:tc>
      </w:tr>
      <w:tr w:rsidR="004849B7" w:rsidRPr="00B611AB" w14:paraId="20A2514D" w14:textId="77777777" w:rsidTr="00D214F0">
        <w:trPr>
          <w:trHeight w:val="80"/>
        </w:trPr>
        <w:tc>
          <w:tcPr>
            <w:tcW w:w="10800" w:type="dxa"/>
            <w:gridSpan w:val="3"/>
            <w:tcBorders>
              <w:top w:val="nil"/>
              <w:left w:val="nil"/>
              <w:bottom w:val="nil"/>
              <w:right w:val="nil"/>
            </w:tcBorders>
            <w:hideMark/>
          </w:tcPr>
          <w:p w14:paraId="6CD0C855" w14:textId="004B6D9F" w:rsidR="004849B7" w:rsidRPr="00DA1B03" w:rsidRDefault="00871375" w:rsidP="00D214F0">
            <w:r>
              <w:t>In t</w:t>
            </w:r>
            <w:r w:rsidRPr="00A23315">
              <w:t xml:space="preserve">his </w:t>
            </w:r>
            <w:r>
              <w:t>study, Dr. Thorne p</w:t>
            </w:r>
            <w:r w:rsidRPr="00871375">
              <w:t>erform</w:t>
            </w:r>
            <w:r>
              <w:t>s</w:t>
            </w:r>
            <w:r w:rsidRPr="00871375">
              <w:t xml:space="preserve"> exposure assessment for endotoxin, glucans and allergens using samples collected from the homes of study participants </w:t>
            </w:r>
            <w:r w:rsidR="00DA1B03">
              <w:t>with b</w:t>
            </w:r>
            <w:r w:rsidR="00DA1B03" w:rsidRPr="00DA1B03">
              <w:t xml:space="preserve">ronchopulmonary </w:t>
            </w:r>
            <w:r w:rsidR="00DA1B03">
              <w:t>d</w:t>
            </w:r>
            <w:r w:rsidR="00DA1B03" w:rsidRPr="00DA1B03">
              <w:t>ysplasia</w:t>
            </w:r>
            <w:r w:rsidR="00DA1B03">
              <w:t>.</w:t>
            </w:r>
          </w:p>
        </w:tc>
      </w:tr>
    </w:tbl>
    <w:p w14:paraId="4134CB78" w14:textId="77777777" w:rsidR="004849B7" w:rsidRPr="00B611AB" w:rsidRDefault="004849B7" w:rsidP="005324DD">
      <w:pPr>
        <w:rPr>
          <w:sz w:val="16"/>
          <w:szCs w:val="16"/>
          <w:bdr w:val="none" w:sz="0" w:space="0" w:color="auto"/>
        </w:rPr>
      </w:pPr>
    </w:p>
    <w:p w14:paraId="0CC03989" w14:textId="7F7D50D4" w:rsidR="00567CAE" w:rsidRDefault="00DF3C28" w:rsidP="00F273BC">
      <w:pPr>
        <w:spacing w:before="120" w:after="120"/>
      </w:pPr>
      <w:r>
        <w:t>Citations:</w:t>
      </w:r>
    </w:p>
    <w:p w14:paraId="08ABCDAE" w14:textId="789812A3" w:rsidR="0080794E" w:rsidRDefault="009A6418" w:rsidP="0080794E">
      <w:pPr>
        <w:pStyle w:val="ListParagraph"/>
        <w:numPr>
          <w:ilvl w:val="0"/>
          <w:numId w:val="1"/>
        </w:numPr>
        <w:spacing w:before="120" w:after="0"/>
        <w:rPr>
          <w:rFonts w:ascii="Arial" w:hAnsi="Arial" w:cs="Arial"/>
          <w:sz w:val="22"/>
          <w:szCs w:val="22"/>
        </w:rPr>
      </w:pPr>
      <w:r w:rsidRPr="00E10405">
        <w:rPr>
          <w:rFonts w:ascii="Arial" w:hAnsi="Arial" w:cs="Arial"/>
          <w:b/>
          <w:bCs/>
          <w:sz w:val="22"/>
          <w:szCs w:val="22"/>
        </w:rPr>
        <w:t>Thorne PS</w:t>
      </w:r>
      <w:r w:rsidRPr="009A6418">
        <w:rPr>
          <w:rFonts w:ascii="Arial" w:hAnsi="Arial" w:cs="Arial"/>
          <w:sz w:val="22"/>
          <w:szCs w:val="22"/>
        </w:rPr>
        <w:t xml:space="preserve">. Environmental endotoxin exposure and asthma. Invited: Paradigms and Perspectives. </w:t>
      </w:r>
      <w:r w:rsidR="00832F5D" w:rsidRPr="00832F5D">
        <w:rPr>
          <w:rFonts w:ascii="Arial" w:hAnsi="Arial" w:cs="Arial"/>
          <w:sz w:val="22"/>
          <w:szCs w:val="22"/>
        </w:rPr>
        <w:t xml:space="preserve">Thorne PS. Environmental endotoxin exposure and asthma. </w:t>
      </w:r>
      <w:r w:rsidR="00832F5D" w:rsidRPr="009F3987">
        <w:rPr>
          <w:rFonts w:ascii="Arial" w:hAnsi="Arial" w:cs="Arial"/>
          <w:b/>
          <w:bCs/>
          <w:i/>
          <w:iCs/>
          <w:sz w:val="22"/>
          <w:szCs w:val="22"/>
        </w:rPr>
        <w:t>J Allergy Clin Immunol</w:t>
      </w:r>
      <w:r w:rsidR="00832F5D" w:rsidRPr="00832F5D">
        <w:rPr>
          <w:rFonts w:ascii="Arial" w:hAnsi="Arial" w:cs="Arial"/>
          <w:sz w:val="22"/>
          <w:szCs w:val="22"/>
        </w:rPr>
        <w:t>. 2021 Jul;148(1):61-63. doi: 10.1016/j.jaci.2021.05.004. Epub 2021 May 14. PMID: 34000345.</w:t>
      </w:r>
    </w:p>
    <w:p w14:paraId="7D6985B2" w14:textId="4AADA155" w:rsidR="0080794E" w:rsidRPr="00DA3C57" w:rsidRDefault="0080794E" w:rsidP="0080794E">
      <w:pPr>
        <w:pStyle w:val="ListParagraph"/>
        <w:numPr>
          <w:ilvl w:val="0"/>
          <w:numId w:val="1"/>
        </w:numPr>
        <w:spacing w:before="120" w:after="0"/>
        <w:rPr>
          <w:rFonts w:ascii="Arial" w:hAnsi="Arial" w:cs="Arial"/>
          <w:sz w:val="22"/>
          <w:szCs w:val="22"/>
        </w:rPr>
      </w:pPr>
      <w:r w:rsidRPr="006047FB">
        <w:rPr>
          <w:rFonts w:ascii="Arial" w:hAnsi="Arial" w:cs="Arial"/>
          <w:sz w:val="22"/>
          <w:szCs w:val="22"/>
        </w:rPr>
        <w:t xml:space="preserve">Lynch TJ, Anderson PJ, Rotti PG, Tyler SR, Crooke AK, Choi SH, Montoro DT, Silverman CL, Shahin W, Zhao R, Jensen-Cody CW, Adamcakova-Dodd A, Evans TIA, Xie W, Zhang Y, Mou H, Herring BP, </w:t>
      </w:r>
      <w:r w:rsidRPr="006047FB">
        <w:rPr>
          <w:rFonts w:ascii="Arial" w:hAnsi="Arial" w:cs="Arial"/>
          <w:b/>
          <w:sz w:val="22"/>
          <w:szCs w:val="22"/>
        </w:rPr>
        <w:t>Thorne PS</w:t>
      </w:r>
      <w:r w:rsidRPr="006047FB">
        <w:rPr>
          <w:rFonts w:ascii="Arial" w:hAnsi="Arial" w:cs="Arial"/>
          <w:sz w:val="22"/>
          <w:szCs w:val="22"/>
        </w:rPr>
        <w:t>, Rajagopal J, Yeaman C, Parekh KR, Engelhardt JF. Submucosal Gland Myoepithelial Cells Are Reserve Stem Cells That Can Regenerate Mouse Tracheal Epithelium.</w:t>
      </w:r>
      <w:r>
        <w:rPr>
          <w:rFonts w:ascii="Arial" w:hAnsi="Arial" w:cs="Arial"/>
          <w:sz w:val="22"/>
          <w:szCs w:val="22"/>
        </w:rPr>
        <w:t xml:space="preserve"> </w:t>
      </w:r>
      <w:r w:rsidRPr="006047FB">
        <w:rPr>
          <w:rFonts w:ascii="Arial" w:hAnsi="Arial" w:cs="Arial"/>
          <w:b/>
          <w:i/>
          <w:sz w:val="22"/>
          <w:szCs w:val="22"/>
        </w:rPr>
        <w:t>Cell Stem Cell</w:t>
      </w:r>
      <w:r w:rsidRPr="006047FB">
        <w:rPr>
          <w:rFonts w:ascii="Arial" w:hAnsi="Arial" w:cs="Arial"/>
          <w:sz w:val="22"/>
          <w:szCs w:val="22"/>
        </w:rPr>
        <w:t>. 2018 May 3;22(5):653-667.e5. doi: 10.1016/j.stem.2018.03.017. Epub 2018 Apr 12.</w:t>
      </w:r>
      <w:r w:rsidR="00F970DA">
        <w:rPr>
          <w:rFonts w:ascii="Arial" w:hAnsi="Arial" w:cs="Arial"/>
          <w:sz w:val="22"/>
          <w:szCs w:val="22"/>
        </w:rPr>
        <w:t xml:space="preserve"> </w:t>
      </w:r>
      <w:r>
        <w:rPr>
          <w:rFonts w:ascii="Arial" w:hAnsi="Arial" w:cs="Arial"/>
          <w:sz w:val="22"/>
          <w:szCs w:val="22"/>
        </w:rPr>
        <w:t>PMCID:</w:t>
      </w:r>
      <w:r w:rsidRPr="006047FB">
        <w:rPr>
          <w:rFonts w:ascii="Arial" w:hAnsi="Arial" w:cs="Arial"/>
          <w:sz w:val="22"/>
          <w:szCs w:val="22"/>
        </w:rPr>
        <w:t xml:space="preserve"> </w:t>
      </w:r>
      <w:r w:rsidRPr="00DA3C57">
        <w:rPr>
          <w:rFonts w:ascii="Arial" w:eastAsia="Arial" w:hAnsi="Arial" w:cs="Arial"/>
          <w:sz w:val="22"/>
          <w:szCs w:val="22"/>
          <w:bdr w:val="nil"/>
        </w:rPr>
        <w:t>PMC5935589</w:t>
      </w:r>
    </w:p>
    <w:p w14:paraId="7E2FDD33" w14:textId="2FF9B640" w:rsidR="009C5F28" w:rsidRPr="009C5F28" w:rsidRDefault="003109E6" w:rsidP="009C5F28">
      <w:pPr>
        <w:pStyle w:val="ListParagraph"/>
        <w:numPr>
          <w:ilvl w:val="0"/>
          <w:numId w:val="1"/>
        </w:numPr>
        <w:spacing w:before="120" w:after="0"/>
        <w:rPr>
          <w:rStyle w:val="Hyperlink"/>
          <w:rFonts w:ascii="Arial" w:hAnsi="Arial" w:cs="Arial"/>
          <w:color w:val="auto"/>
          <w:sz w:val="22"/>
          <w:szCs w:val="22"/>
          <w:u w:val="none"/>
        </w:rPr>
      </w:pPr>
      <w:r w:rsidRPr="00296D8E">
        <w:rPr>
          <w:rFonts w:ascii="Arial" w:hAnsi="Arial" w:cs="Arial"/>
          <w:sz w:val="22"/>
          <w:szCs w:val="22"/>
        </w:rPr>
        <w:t xml:space="preserve">Stein MM, Hrusch CL, Gozdz J, Igartua C, Pivniouk V, Murray SE, Ledford JG, Marques dos Santos M, Anderson RL, Metwali N, Neilson JW, Maier RM, Gilbert JA, Holbreich M, </w:t>
      </w:r>
      <w:r w:rsidRPr="00296D8E">
        <w:rPr>
          <w:rFonts w:ascii="Arial" w:hAnsi="Arial" w:cs="Arial"/>
          <w:b/>
          <w:sz w:val="22"/>
          <w:szCs w:val="22"/>
        </w:rPr>
        <w:t>Thorne PS</w:t>
      </w:r>
      <w:r w:rsidRPr="00296D8E">
        <w:rPr>
          <w:rFonts w:ascii="Arial" w:hAnsi="Arial" w:cs="Arial"/>
          <w:sz w:val="22"/>
          <w:szCs w:val="22"/>
        </w:rPr>
        <w:t xml:space="preserve">, Martinez FD, von Mutius E, Vercelli D, Ober C, Sperling AI. Innate Immunity and Asthma Risk in Amish and Hutterite Farm Children. </w:t>
      </w:r>
      <w:r w:rsidRPr="00296D8E">
        <w:rPr>
          <w:rFonts w:ascii="Arial" w:hAnsi="Arial" w:cs="Arial"/>
          <w:b/>
          <w:i/>
          <w:sz w:val="22"/>
          <w:szCs w:val="22"/>
        </w:rPr>
        <w:t>N Engl J Med</w:t>
      </w:r>
      <w:r w:rsidRPr="00296D8E">
        <w:rPr>
          <w:rFonts w:ascii="Arial" w:hAnsi="Arial" w:cs="Arial"/>
          <w:sz w:val="22"/>
          <w:szCs w:val="22"/>
        </w:rPr>
        <w:t xml:space="preserve">. 2016 Aug 4;375(5):411-21. PMCID: </w:t>
      </w:r>
      <w:r w:rsidRPr="00DA3C57">
        <w:rPr>
          <w:rFonts w:ascii="Arial" w:hAnsi="Arial" w:cs="Arial"/>
          <w:sz w:val="22"/>
          <w:szCs w:val="22"/>
        </w:rPr>
        <w:t>PMC5137793</w:t>
      </w:r>
    </w:p>
    <w:p w14:paraId="5D9F14F1" w14:textId="16DE745F" w:rsidR="009C5F28" w:rsidRPr="009C5F28" w:rsidRDefault="009C5F28" w:rsidP="009C5F28">
      <w:pPr>
        <w:pStyle w:val="ListParagraph"/>
        <w:numPr>
          <w:ilvl w:val="0"/>
          <w:numId w:val="1"/>
        </w:numPr>
        <w:spacing w:before="120" w:after="0"/>
        <w:rPr>
          <w:rFonts w:ascii="Arial" w:hAnsi="Arial" w:cs="Arial"/>
          <w:sz w:val="22"/>
          <w:szCs w:val="22"/>
        </w:rPr>
      </w:pPr>
      <w:r w:rsidRPr="009C5F28">
        <w:rPr>
          <w:rFonts w:ascii="Arial" w:hAnsi="Arial" w:cs="Arial"/>
          <w:sz w:val="22"/>
          <w:szCs w:val="22"/>
        </w:rPr>
        <w:t xml:space="preserve">Trompette A, Divanovic S, Visintin A, Blanchard C, Hegde RS, Madan R, </w:t>
      </w:r>
      <w:r w:rsidRPr="009C5F28">
        <w:rPr>
          <w:rFonts w:ascii="Arial" w:hAnsi="Arial" w:cs="Arial"/>
          <w:b/>
          <w:sz w:val="22"/>
          <w:szCs w:val="22"/>
        </w:rPr>
        <w:t>Thorne PS</w:t>
      </w:r>
      <w:r w:rsidRPr="009C5F28">
        <w:rPr>
          <w:rFonts w:ascii="Arial" w:hAnsi="Arial" w:cs="Arial"/>
          <w:sz w:val="22"/>
          <w:szCs w:val="22"/>
        </w:rPr>
        <w:t xml:space="preserve">, Wills-Karp M, Gioannini TL, Weiss JP, Karp CL. Allergenicity resulting from functional mimicry of a Toll-like receptor complex protein. </w:t>
      </w:r>
      <w:r w:rsidRPr="009C5F28">
        <w:rPr>
          <w:rFonts w:ascii="Arial" w:hAnsi="Arial" w:cs="Arial"/>
          <w:b/>
          <w:i/>
          <w:sz w:val="22"/>
          <w:szCs w:val="22"/>
        </w:rPr>
        <w:t>Nature</w:t>
      </w:r>
      <w:r w:rsidRPr="009C5F28">
        <w:rPr>
          <w:rFonts w:ascii="Arial" w:hAnsi="Arial" w:cs="Arial"/>
          <w:sz w:val="22"/>
          <w:szCs w:val="22"/>
        </w:rPr>
        <w:t xml:space="preserve">. 2009 Jan 29;457(7229):585-8. PMCID: </w:t>
      </w:r>
      <w:r w:rsidRPr="00DA3C57">
        <w:rPr>
          <w:rFonts w:ascii="Arial" w:hAnsi="Arial" w:cs="Arial"/>
          <w:sz w:val="22"/>
          <w:szCs w:val="22"/>
        </w:rPr>
        <w:t>PMC2843411</w:t>
      </w:r>
    </w:p>
    <w:p w14:paraId="12A86A69" w14:textId="62A45EE5" w:rsidR="00350B38" w:rsidRPr="00B75301" w:rsidRDefault="00B92718" w:rsidP="00F273BC">
      <w:pPr>
        <w:pStyle w:val="Heading3"/>
        <w:spacing w:before="120" w:after="0"/>
        <w:rPr>
          <w:sz w:val="24"/>
        </w:rPr>
      </w:pPr>
      <w:r w:rsidRPr="00B75301">
        <w:rPr>
          <w:rFonts w:ascii="Arial" w:eastAsia="Arial" w:hAnsi="Arial" w:cs="Arial"/>
          <w:sz w:val="24"/>
          <w:szCs w:val="26"/>
        </w:rPr>
        <w:t>B. Positions</w:t>
      </w:r>
      <w:r w:rsidR="0055525F">
        <w:rPr>
          <w:rFonts w:ascii="Arial" w:eastAsia="Arial" w:hAnsi="Arial" w:cs="Arial"/>
          <w:sz w:val="24"/>
          <w:szCs w:val="26"/>
        </w:rPr>
        <w:t>, Scientific</w:t>
      </w:r>
      <w:r w:rsidR="00B22E06">
        <w:rPr>
          <w:rFonts w:ascii="Arial" w:eastAsia="Arial" w:hAnsi="Arial" w:cs="Arial"/>
          <w:sz w:val="24"/>
          <w:szCs w:val="26"/>
        </w:rPr>
        <w:t xml:space="preserve"> </w:t>
      </w:r>
      <w:r w:rsidR="00F964E6">
        <w:rPr>
          <w:rFonts w:ascii="Arial" w:eastAsia="Arial" w:hAnsi="Arial" w:cs="Arial"/>
          <w:sz w:val="24"/>
          <w:szCs w:val="26"/>
        </w:rPr>
        <w:t>Appointments,</w:t>
      </w:r>
      <w:r w:rsidRPr="00B75301">
        <w:rPr>
          <w:rFonts w:ascii="Arial" w:eastAsia="Arial" w:hAnsi="Arial" w:cs="Arial"/>
          <w:sz w:val="24"/>
          <w:szCs w:val="26"/>
        </w:rPr>
        <w:t xml:space="preserve"> and Honors</w:t>
      </w:r>
    </w:p>
    <w:p w14:paraId="6206F43E" w14:textId="77777777" w:rsidR="00350B38" w:rsidRPr="00B75301" w:rsidRDefault="00B92718" w:rsidP="00F273BC">
      <w:pPr>
        <w:pStyle w:val="h3underline"/>
        <w:spacing w:before="120" w:after="0"/>
        <w:rPr>
          <w:sz w:val="24"/>
        </w:rPr>
      </w:pPr>
      <w:r w:rsidRPr="00B75301">
        <w:rPr>
          <w:rFonts w:ascii="Arial" w:eastAsia="Arial" w:hAnsi="Arial" w:cs="Arial"/>
          <w:sz w:val="24"/>
          <w:szCs w:val="26"/>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8E1C92" w14:paraId="77BA3A9B" w14:textId="77777777">
        <w:tc>
          <w:tcPr>
            <w:tcW w:w="1530" w:type="dxa"/>
            <w:tcMar>
              <w:top w:w="15" w:type="dxa"/>
              <w:left w:w="15" w:type="dxa"/>
              <w:bottom w:w="15" w:type="dxa"/>
              <w:right w:w="15" w:type="dxa"/>
            </w:tcMar>
          </w:tcPr>
          <w:p w14:paraId="0716A6F5" w14:textId="67BD5F1F" w:rsidR="008E1C92" w:rsidRDefault="008E1C92">
            <w:r>
              <w:t>2022</w:t>
            </w:r>
            <w:r w:rsidR="00064A32">
              <w:t xml:space="preserve"> </w:t>
            </w:r>
            <w:r w:rsidRPr="00064A32">
              <w:rPr>
                <w:sz w:val="20"/>
                <w:szCs w:val="20"/>
              </w:rPr>
              <w:t>-</w:t>
            </w:r>
            <w:r w:rsidR="00064A32" w:rsidRPr="00064A32">
              <w:rPr>
                <w:sz w:val="20"/>
                <w:szCs w:val="20"/>
              </w:rPr>
              <w:t xml:space="preserve"> present</w:t>
            </w:r>
          </w:p>
        </w:tc>
        <w:tc>
          <w:tcPr>
            <w:tcW w:w="0" w:type="auto"/>
            <w:tcMar>
              <w:top w:w="15" w:type="dxa"/>
              <w:left w:w="15" w:type="dxa"/>
              <w:bottom w:w="15" w:type="dxa"/>
              <w:right w:w="15" w:type="dxa"/>
            </w:tcMar>
          </w:tcPr>
          <w:p w14:paraId="0B0FC9B7" w14:textId="303C31A7" w:rsidR="008E1C92" w:rsidRDefault="00064A32">
            <w:r>
              <w:t>University of Iowa Distinguished Chair</w:t>
            </w:r>
            <w:r w:rsidR="007652DC">
              <w:t>, Iowa City, IA</w:t>
            </w:r>
          </w:p>
        </w:tc>
      </w:tr>
      <w:tr w:rsidR="00483503" w14:paraId="63AED23F" w14:textId="77777777">
        <w:tc>
          <w:tcPr>
            <w:tcW w:w="1530" w:type="dxa"/>
            <w:tcMar>
              <w:top w:w="15" w:type="dxa"/>
              <w:left w:w="15" w:type="dxa"/>
              <w:bottom w:w="15" w:type="dxa"/>
              <w:right w:w="15" w:type="dxa"/>
            </w:tcMar>
          </w:tcPr>
          <w:p w14:paraId="375FE7C5" w14:textId="04E49094" w:rsidR="00483503" w:rsidRDefault="00483503">
            <w:r>
              <w:t xml:space="preserve">2020 - </w:t>
            </w:r>
            <w:r w:rsidRPr="00483503">
              <w:rPr>
                <w:sz w:val="20"/>
              </w:rPr>
              <w:t>present</w:t>
            </w:r>
          </w:p>
        </w:tc>
        <w:tc>
          <w:tcPr>
            <w:tcW w:w="0" w:type="auto"/>
            <w:tcMar>
              <w:top w:w="15" w:type="dxa"/>
              <w:left w:w="15" w:type="dxa"/>
              <w:bottom w:w="15" w:type="dxa"/>
              <w:right w:w="15" w:type="dxa"/>
            </w:tcMar>
          </w:tcPr>
          <w:p w14:paraId="754B454F" w14:textId="1A1B7D9A" w:rsidR="00483503" w:rsidRDefault="00483503">
            <w:r>
              <w:t>Director, Human Toxicology Program, Iowa City, IA</w:t>
            </w:r>
          </w:p>
        </w:tc>
      </w:tr>
      <w:tr w:rsidR="00601FC4" w14:paraId="389C9248" w14:textId="77777777" w:rsidTr="001C4689">
        <w:tc>
          <w:tcPr>
            <w:tcW w:w="1530" w:type="dxa"/>
            <w:tcMar>
              <w:top w:w="15" w:type="dxa"/>
              <w:left w:w="15" w:type="dxa"/>
              <w:bottom w:w="15" w:type="dxa"/>
              <w:right w:w="15" w:type="dxa"/>
            </w:tcMar>
          </w:tcPr>
          <w:p w14:paraId="12E68B76" w14:textId="77777777" w:rsidR="00601FC4" w:rsidRDefault="00601FC4" w:rsidP="001C4689">
            <w:r>
              <w:t xml:space="preserve">2020 </w:t>
            </w:r>
            <w:r w:rsidRPr="00483503">
              <w:rPr>
                <w:sz w:val="20"/>
              </w:rPr>
              <w:t>- present</w:t>
            </w:r>
          </w:p>
        </w:tc>
        <w:tc>
          <w:tcPr>
            <w:tcW w:w="0" w:type="auto"/>
            <w:tcMar>
              <w:top w:w="15" w:type="dxa"/>
              <w:left w:w="15" w:type="dxa"/>
              <w:bottom w:w="15" w:type="dxa"/>
              <w:right w:w="15" w:type="dxa"/>
            </w:tcMar>
          </w:tcPr>
          <w:p w14:paraId="3180E34B" w14:textId="77777777" w:rsidR="00601FC4" w:rsidRDefault="00601FC4" w:rsidP="001C4689">
            <w:r>
              <w:t>Deputy Director, Environmental Health Sciences Research Center, Iowa City, IA</w:t>
            </w:r>
          </w:p>
        </w:tc>
      </w:tr>
      <w:tr w:rsidR="00601FC4" w14:paraId="43BC7CA2" w14:textId="77777777" w:rsidTr="001C4689">
        <w:tc>
          <w:tcPr>
            <w:tcW w:w="1530" w:type="dxa"/>
            <w:tcMar>
              <w:top w:w="15" w:type="dxa"/>
              <w:left w:w="15" w:type="dxa"/>
              <w:bottom w:w="15" w:type="dxa"/>
              <w:right w:w="15" w:type="dxa"/>
            </w:tcMar>
          </w:tcPr>
          <w:p w14:paraId="3D6855A8" w14:textId="39EE0969" w:rsidR="00601FC4" w:rsidRDefault="00601FC4" w:rsidP="001C4689">
            <w:r>
              <w:t xml:space="preserve">2009 - </w:t>
            </w:r>
            <w:r w:rsidR="00DA3C57">
              <w:t>2022</w:t>
            </w:r>
          </w:p>
        </w:tc>
        <w:tc>
          <w:tcPr>
            <w:tcW w:w="0" w:type="auto"/>
            <w:tcMar>
              <w:top w:w="15" w:type="dxa"/>
              <w:left w:w="15" w:type="dxa"/>
              <w:bottom w:w="15" w:type="dxa"/>
              <w:right w:w="15" w:type="dxa"/>
            </w:tcMar>
          </w:tcPr>
          <w:p w14:paraId="66AADBBB" w14:textId="77777777" w:rsidR="00601FC4" w:rsidRDefault="00601FC4" w:rsidP="001C4689">
            <w:r>
              <w:t>Head, UI Department of Occupational &amp; Environmental Health, Iowa City, IA</w:t>
            </w:r>
          </w:p>
        </w:tc>
      </w:tr>
      <w:tr w:rsidR="00601FC4" w14:paraId="04CD2BD1" w14:textId="77777777" w:rsidTr="001C4689">
        <w:tc>
          <w:tcPr>
            <w:tcW w:w="1530" w:type="dxa"/>
            <w:tcMar>
              <w:top w:w="15" w:type="dxa"/>
              <w:left w:w="15" w:type="dxa"/>
              <w:bottom w:w="15" w:type="dxa"/>
              <w:right w:w="15" w:type="dxa"/>
            </w:tcMar>
          </w:tcPr>
          <w:p w14:paraId="79BEBF4E" w14:textId="77777777" w:rsidR="00601FC4" w:rsidRDefault="00601FC4" w:rsidP="001C4689">
            <w:r>
              <w:t>2007 - 2007</w:t>
            </w:r>
          </w:p>
        </w:tc>
        <w:tc>
          <w:tcPr>
            <w:tcW w:w="0" w:type="auto"/>
            <w:tcMar>
              <w:top w:w="15" w:type="dxa"/>
              <w:left w:w="15" w:type="dxa"/>
              <w:bottom w:w="15" w:type="dxa"/>
              <w:right w:w="15" w:type="dxa"/>
            </w:tcMar>
          </w:tcPr>
          <w:p w14:paraId="25BDFE30" w14:textId="77777777" w:rsidR="00601FC4" w:rsidRDefault="00601FC4" w:rsidP="001C4689">
            <w:r>
              <w:t>Visiting Professor, Aarhus University, Aarhus, Denmark</w:t>
            </w:r>
          </w:p>
        </w:tc>
      </w:tr>
      <w:tr w:rsidR="00601FC4" w14:paraId="0FCCE4A6" w14:textId="77777777" w:rsidTr="001C4689">
        <w:tc>
          <w:tcPr>
            <w:tcW w:w="1530" w:type="dxa"/>
            <w:tcMar>
              <w:top w:w="15" w:type="dxa"/>
              <w:left w:w="15" w:type="dxa"/>
              <w:bottom w:w="15" w:type="dxa"/>
              <w:right w:w="15" w:type="dxa"/>
            </w:tcMar>
          </w:tcPr>
          <w:p w14:paraId="15E93889" w14:textId="77777777" w:rsidR="00601FC4" w:rsidRDefault="00601FC4" w:rsidP="001C4689">
            <w:r>
              <w:t>2006 - 2007</w:t>
            </w:r>
          </w:p>
        </w:tc>
        <w:tc>
          <w:tcPr>
            <w:tcW w:w="0" w:type="auto"/>
            <w:tcMar>
              <w:top w:w="15" w:type="dxa"/>
              <w:left w:w="15" w:type="dxa"/>
              <w:bottom w:w="15" w:type="dxa"/>
              <w:right w:w="15" w:type="dxa"/>
            </w:tcMar>
          </w:tcPr>
          <w:p w14:paraId="2F2A9618" w14:textId="77777777" w:rsidR="00601FC4" w:rsidRDefault="00601FC4" w:rsidP="001C4689">
            <w:r>
              <w:t>Visiting Professor, Utrecht University, Utrecht, The Netherlands</w:t>
            </w:r>
          </w:p>
        </w:tc>
      </w:tr>
      <w:tr w:rsidR="00601FC4" w14:paraId="6F28A946" w14:textId="77777777" w:rsidTr="001C4689">
        <w:tc>
          <w:tcPr>
            <w:tcW w:w="1530" w:type="dxa"/>
            <w:tcMar>
              <w:top w:w="15" w:type="dxa"/>
              <w:left w:w="15" w:type="dxa"/>
              <w:bottom w:w="15" w:type="dxa"/>
              <w:right w:w="15" w:type="dxa"/>
            </w:tcMar>
          </w:tcPr>
          <w:p w14:paraId="3EBC0393" w14:textId="77777777" w:rsidR="00601FC4" w:rsidRDefault="00601FC4" w:rsidP="001C4689">
            <w:r>
              <w:t>2000 - 2020</w:t>
            </w:r>
          </w:p>
        </w:tc>
        <w:tc>
          <w:tcPr>
            <w:tcW w:w="0" w:type="auto"/>
            <w:tcMar>
              <w:top w:w="15" w:type="dxa"/>
              <w:left w:w="15" w:type="dxa"/>
              <w:bottom w:w="15" w:type="dxa"/>
              <w:right w:w="15" w:type="dxa"/>
            </w:tcMar>
          </w:tcPr>
          <w:p w14:paraId="4DE1EC07" w14:textId="77777777" w:rsidR="00601FC4" w:rsidRDefault="00601FC4" w:rsidP="001C4689">
            <w:r>
              <w:t>Director, Environmental Health Sciences Research Center, Iowa City, IA</w:t>
            </w:r>
          </w:p>
        </w:tc>
      </w:tr>
      <w:tr w:rsidR="00601FC4" w14:paraId="1403AD8C" w14:textId="77777777" w:rsidTr="001C4689">
        <w:tc>
          <w:tcPr>
            <w:tcW w:w="1530" w:type="dxa"/>
            <w:tcMar>
              <w:top w:w="15" w:type="dxa"/>
              <w:left w:w="15" w:type="dxa"/>
              <w:bottom w:w="15" w:type="dxa"/>
              <w:right w:w="15" w:type="dxa"/>
            </w:tcMar>
          </w:tcPr>
          <w:p w14:paraId="2432A430" w14:textId="77777777" w:rsidR="00601FC4" w:rsidRDefault="00601FC4" w:rsidP="001C4689">
            <w:r>
              <w:t xml:space="preserve">1999 - </w:t>
            </w:r>
            <w:r w:rsidRPr="00B0386F">
              <w:rPr>
                <w:sz w:val="20"/>
              </w:rPr>
              <w:t>present</w:t>
            </w:r>
          </w:p>
        </w:tc>
        <w:tc>
          <w:tcPr>
            <w:tcW w:w="0" w:type="auto"/>
            <w:tcMar>
              <w:top w:w="15" w:type="dxa"/>
              <w:left w:w="15" w:type="dxa"/>
              <w:bottom w:w="15" w:type="dxa"/>
              <w:right w:w="15" w:type="dxa"/>
            </w:tcMar>
          </w:tcPr>
          <w:p w14:paraId="45D19310" w14:textId="77777777" w:rsidR="00601FC4" w:rsidRDefault="00601FC4" w:rsidP="001C4689">
            <w:r>
              <w:t>Professor of Toxicology, College of Public Health, University of Iowa, Iowa City, IA</w:t>
            </w:r>
          </w:p>
        </w:tc>
      </w:tr>
      <w:tr w:rsidR="00601FC4" w14:paraId="63BF2838" w14:textId="77777777" w:rsidTr="001C4689">
        <w:tc>
          <w:tcPr>
            <w:tcW w:w="1530" w:type="dxa"/>
            <w:tcMar>
              <w:top w:w="15" w:type="dxa"/>
              <w:left w:w="15" w:type="dxa"/>
              <w:bottom w:w="15" w:type="dxa"/>
              <w:right w:w="15" w:type="dxa"/>
            </w:tcMar>
          </w:tcPr>
          <w:p w14:paraId="5D1557BF" w14:textId="77777777" w:rsidR="00601FC4" w:rsidRDefault="00601FC4" w:rsidP="001C4689">
            <w:r>
              <w:t>1998 - 1998</w:t>
            </w:r>
          </w:p>
        </w:tc>
        <w:tc>
          <w:tcPr>
            <w:tcW w:w="0" w:type="auto"/>
            <w:tcMar>
              <w:top w:w="15" w:type="dxa"/>
              <w:left w:w="15" w:type="dxa"/>
              <w:bottom w:w="15" w:type="dxa"/>
              <w:right w:w="15" w:type="dxa"/>
            </w:tcMar>
          </w:tcPr>
          <w:p w14:paraId="16D425E9" w14:textId="77777777" w:rsidR="00601FC4" w:rsidRDefault="00601FC4" w:rsidP="001C4689">
            <w:r>
              <w:t>Visiting Professor, Wageningen University, Wageningen, The Netherlands</w:t>
            </w:r>
          </w:p>
        </w:tc>
      </w:tr>
      <w:tr w:rsidR="00601FC4" w14:paraId="532ACC06" w14:textId="77777777" w:rsidTr="001C4689">
        <w:tc>
          <w:tcPr>
            <w:tcW w:w="1530" w:type="dxa"/>
            <w:tcMar>
              <w:top w:w="15" w:type="dxa"/>
              <w:left w:w="15" w:type="dxa"/>
              <w:bottom w:w="15" w:type="dxa"/>
              <w:right w:w="15" w:type="dxa"/>
            </w:tcMar>
          </w:tcPr>
          <w:p w14:paraId="27E50248" w14:textId="77777777" w:rsidR="00601FC4" w:rsidRDefault="00601FC4" w:rsidP="001C4689">
            <w:r>
              <w:t>1997 - 1999</w:t>
            </w:r>
          </w:p>
        </w:tc>
        <w:tc>
          <w:tcPr>
            <w:tcW w:w="0" w:type="auto"/>
            <w:tcMar>
              <w:top w:w="15" w:type="dxa"/>
              <w:left w:w="15" w:type="dxa"/>
              <w:bottom w:w="15" w:type="dxa"/>
              <w:right w:w="15" w:type="dxa"/>
            </w:tcMar>
          </w:tcPr>
          <w:p w14:paraId="17953BFB" w14:textId="77777777" w:rsidR="00601FC4" w:rsidRDefault="00601FC4" w:rsidP="001C4689">
            <w:r>
              <w:t>Professor of Toxicology, College of Medicine, University of Iowa, Iowa City, IA</w:t>
            </w:r>
          </w:p>
        </w:tc>
      </w:tr>
      <w:tr w:rsidR="00601FC4" w14:paraId="49F80E4E" w14:textId="77777777" w:rsidTr="001C4689">
        <w:tc>
          <w:tcPr>
            <w:tcW w:w="1530" w:type="dxa"/>
            <w:tcMar>
              <w:top w:w="15" w:type="dxa"/>
              <w:left w:w="15" w:type="dxa"/>
              <w:bottom w:w="15" w:type="dxa"/>
              <w:right w:w="15" w:type="dxa"/>
            </w:tcMar>
          </w:tcPr>
          <w:p w14:paraId="79382B1F" w14:textId="77777777" w:rsidR="00601FC4" w:rsidRDefault="00601FC4" w:rsidP="001C4689">
            <w:r>
              <w:t xml:space="preserve">1997 - </w:t>
            </w:r>
            <w:r w:rsidRPr="00B0386F">
              <w:rPr>
                <w:sz w:val="20"/>
              </w:rPr>
              <w:t>present</w:t>
            </w:r>
          </w:p>
        </w:tc>
        <w:tc>
          <w:tcPr>
            <w:tcW w:w="0" w:type="auto"/>
            <w:tcMar>
              <w:top w:w="15" w:type="dxa"/>
              <w:left w:w="15" w:type="dxa"/>
              <w:bottom w:w="15" w:type="dxa"/>
              <w:right w:w="15" w:type="dxa"/>
            </w:tcMar>
          </w:tcPr>
          <w:p w14:paraId="7ADB4BCE" w14:textId="77777777" w:rsidR="00601FC4" w:rsidRDefault="00601FC4" w:rsidP="001C4689">
            <w:r>
              <w:t>Professor of Environmental Engineering, College of Engineering (Secondary), Iowa City, IA</w:t>
            </w:r>
          </w:p>
        </w:tc>
      </w:tr>
      <w:tr w:rsidR="00601FC4" w14:paraId="71176D2C" w14:textId="77777777" w:rsidTr="001C4689">
        <w:tc>
          <w:tcPr>
            <w:tcW w:w="1530" w:type="dxa"/>
            <w:tcMar>
              <w:top w:w="15" w:type="dxa"/>
              <w:left w:w="15" w:type="dxa"/>
              <w:bottom w:w="15" w:type="dxa"/>
              <w:right w:w="15" w:type="dxa"/>
            </w:tcMar>
          </w:tcPr>
          <w:p w14:paraId="58181985" w14:textId="77777777" w:rsidR="00601FC4" w:rsidRDefault="00601FC4" w:rsidP="001C4689">
            <w:r>
              <w:t>1993 - 2000</w:t>
            </w:r>
          </w:p>
        </w:tc>
        <w:tc>
          <w:tcPr>
            <w:tcW w:w="0" w:type="auto"/>
            <w:tcMar>
              <w:top w:w="15" w:type="dxa"/>
              <w:left w:w="15" w:type="dxa"/>
              <w:bottom w:w="15" w:type="dxa"/>
              <w:right w:w="15" w:type="dxa"/>
            </w:tcMar>
          </w:tcPr>
          <w:p w14:paraId="2F97E420" w14:textId="77777777" w:rsidR="00601FC4" w:rsidRDefault="00601FC4" w:rsidP="001C4689">
            <w:r>
              <w:t>Deputy Director, Environmental Health Sciences Research Center, Iowa City, IA</w:t>
            </w:r>
          </w:p>
        </w:tc>
      </w:tr>
      <w:tr w:rsidR="00601FC4" w14:paraId="5CB7F041" w14:textId="77777777" w:rsidTr="001C4689">
        <w:tc>
          <w:tcPr>
            <w:tcW w:w="1530" w:type="dxa"/>
            <w:tcMar>
              <w:top w:w="15" w:type="dxa"/>
              <w:left w:w="15" w:type="dxa"/>
              <w:bottom w:w="15" w:type="dxa"/>
              <w:right w:w="15" w:type="dxa"/>
            </w:tcMar>
          </w:tcPr>
          <w:p w14:paraId="363826CF" w14:textId="77777777" w:rsidR="00601FC4" w:rsidRDefault="00601FC4" w:rsidP="001C4689">
            <w:r>
              <w:t xml:space="preserve">1993 - </w:t>
            </w:r>
            <w:r w:rsidRPr="00B0386F">
              <w:rPr>
                <w:sz w:val="20"/>
              </w:rPr>
              <w:t>present</w:t>
            </w:r>
          </w:p>
        </w:tc>
        <w:tc>
          <w:tcPr>
            <w:tcW w:w="0" w:type="auto"/>
            <w:tcMar>
              <w:top w:w="15" w:type="dxa"/>
              <w:left w:w="15" w:type="dxa"/>
              <w:bottom w:w="15" w:type="dxa"/>
              <w:right w:w="15" w:type="dxa"/>
            </w:tcMar>
          </w:tcPr>
          <w:p w14:paraId="2335A998" w14:textId="77777777" w:rsidR="00601FC4" w:rsidRDefault="00601FC4" w:rsidP="001C4689">
            <w:r>
              <w:t>Director, U.I. Pulmonary Toxicology Facility, Iowa City, IA</w:t>
            </w:r>
          </w:p>
        </w:tc>
      </w:tr>
      <w:tr w:rsidR="00601FC4" w14:paraId="0196CE8D" w14:textId="77777777" w:rsidTr="001C4689">
        <w:tc>
          <w:tcPr>
            <w:tcW w:w="1530" w:type="dxa"/>
            <w:tcMar>
              <w:top w:w="15" w:type="dxa"/>
              <w:left w:w="15" w:type="dxa"/>
              <w:bottom w:w="15" w:type="dxa"/>
              <w:right w:w="15" w:type="dxa"/>
            </w:tcMar>
          </w:tcPr>
          <w:p w14:paraId="53701A85" w14:textId="77777777" w:rsidR="00601FC4" w:rsidRDefault="00601FC4" w:rsidP="001C4689">
            <w:r>
              <w:lastRenderedPageBreak/>
              <w:t>1992 - 1997</w:t>
            </w:r>
          </w:p>
        </w:tc>
        <w:tc>
          <w:tcPr>
            <w:tcW w:w="0" w:type="auto"/>
            <w:tcMar>
              <w:top w:w="15" w:type="dxa"/>
              <w:left w:w="15" w:type="dxa"/>
              <w:bottom w:w="15" w:type="dxa"/>
              <w:right w:w="15" w:type="dxa"/>
            </w:tcMar>
          </w:tcPr>
          <w:p w14:paraId="0EB6458C" w14:textId="77777777" w:rsidR="00601FC4" w:rsidRDefault="00601FC4" w:rsidP="001C4689">
            <w:r>
              <w:t>Associate Professor, University of Iowa, Iowa City, IA</w:t>
            </w:r>
          </w:p>
        </w:tc>
      </w:tr>
      <w:tr w:rsidR="00601FC4" w14:paraId="594E4DD9" w14:textId="77777777" w:rsidTr="001C4689">
        <w:tc>
          <w:tcPr>
            <w:tcW w:w="1530" w:type="dxa"/>
            <w:tcMar>
              <w:top w:w="15" w:type="dxa"/>
              <w:left w:w="15" w:type="dxa"/>
              <w:bottom w:w="15" w:type="dxa"/>
              <w:right w:w="15" w:type="dxa"/>
            </w:tcMar>
          </w:tcPr>
          <w:p w14:paraId="330FAE9D" w14:textId="77777777" w:rsidR="00601FC4" w:rsidRDefault="00601FC4" w:rsidP="001C4689">
            <w:r>
              <w:t>1988 - 1992</w:t>
            </w:r>
          </w:p>
        </w:tc>
        <w:tc>
          <w:tcPr>
            <w:tcW w:w="0" w:type="auto"/>
            <w:tcMar>
              <w:top w:w="15" w:type="dxa"/>
              <w:left w:w="15" w:type="dxa"/>
              <w:bottom w:w="15" w:type="dxa"/>
              <w:right w:w="15" w:type="dxa"/>
            </w:tcMar>
          </w:tcPr>
          <w:p w14:paraId="7BAA8F74" w14:textId="77777777" w:rsidR="00601FC4" w:rsidRDefault="00601FC4" w:rsidP="001C4689">
            <w:r>
              <w:t>Assistant Professor, University of Iowa, Iowa City, IA</w:t>
            </w:r>
          </w:p>
        </w:tc>
      </w:tr>
      <w:tr w:rsidR="00601FC4" w14:paraId="1AA3C65A" w14:textId="77777777" w:rsidTr="001C4689">
        <w:tc>
          <w:tcPr>
            <w:tcW w:w="1530" w:type="dxa"/>
            <w:tcMar>
              <w:top w:w="15" w:type="dxa"/>
              <w:left w:w="15" w:type="dxa"/>
              <w:bottom w:w="15" w:type="dxa"/>
              <w:right w:w="15" w:type="dxa"/>
            </w:tcMar>
          </w:tcPr>
          <w:p w14:paraId="275346E7" w14:textId="77777777" w:rsidR="00601FC4" w:rsidRDefault="00601FC4" w:rsidP="001C4689">
            <w:r>
              <w:t>1987 - 1988</w:t>
            </w:r>
          </w:p>
        </w:tc>
        <w:tc>
          <w:tcPr>
            <w:tcW w:w="0" w:type="auto"/>
            <w:tcMar>
              <w:top w:w="15" w:type="dxa"/>
              <w:left w:w="15" w:type="dxa"/>
              <w:bottom w:w="15" w:type="dxa"/>
              <w:right w:w="15" w:type="dxa"/>
            </w:tcMar>
          </w:tcPr>
          <w:p w14:paraId="40D3DBCB" w14:textId="77777777" w:rsidR="00601FC4" w:rsidRDefault="00601FC4" w:rsidP="001C4689">
            <w:r>
              <w:t>Assistant Professor, University of Pittsburgh, Pittsburgh, PA</w:t>
            </w:r>
          </w:p>
        </w:tc>
      </w:tr>
      <w:tr w:rsidR="00601FC4" w14:paraId="549D7B2F" w14:textId="77777777" w:rsidTr="001C4689">
        <w:tc>
          <w:tcPr>
            <w:tcW w:w="1530" w:type="dxa"/>
            <w:tcMar>
              <w:top w:w="15" w:type="dxa"/>
              <w:left w:w="15" w:type="dxa"/>
              <w:bottom w:w="15" w:type="dxa"/>
              <w:right w:w="15" w:type="dxa"/>
            </w:tcMar>
          </w:tcPr>
          <w:p w14:paraId="252DF147" w14:textId="77777777" w:rsidR="00601FC4" w:rsidRDefault="00601FC4" w:rsidP="001C4689">
            <w:r>
              <w:t>1984 - 1987</w:t>
            </w:r>
          </w:p>
        </w:tc>
        <w:tc>
          <w:tcPr>
            <w:tcW w:w="0" w:type="auto"/>
            <w:tcMar>
              <w:top w:w="15" w:type="dxa"/>
              <w:left w:w="15" w:type="dxa"/>
              <w:bottom w:w="15" w:type="dxa"/>
              <w:right w:w="15" w:type="dxa"/>
            </w:tcMar>
          </w:tcPr>
          <w:p w14:paraId="6E8DE52A" w14:textId="77777777" w:rsidR="00601FC4" w:rsidRDefault="00601FC4" w:rsidP="001C4689">
            <w:r>
              <w:t>Faculty Research Associate, University of Pittsburgh, Pittsburgh, PA</w:t>
            </w:r>
          </w:p>
        </w:tc>
      </w:tr>
      <w:tr w:rsidR="00601FC4" w14:paraId="7119435B" w14:textId="77777777" w:rsidTr="001C4689">
        <w:tc>
          <w:tcPr>
            <w:tcW w:w="1530" w:type="dxa"/>
            <w:tcMar>
              <w:top w:w="15" w:type="dxa"/>
              <w:left w:w="15" w:type="dxa"/>
              <w:bottom w:w="15" w:type="dxa"/>
              <w:right w:w="15" w:type="dxa"/>
            </w:tcMar>
          </w:tcPr>
          <w:p w14:paraId="66DA2FE7" w14:textId="0B866A3A" w:rsidR="00601FC4" w:rsidRDefault="00601FC4" w:rsidP="001C4689">
            <w:r>
              <w:t>198</w:t>
            </w:r>
            <w:r w:rsidR="002B2704">
              <w:t>1</w:t>
            </w:r>
            <w:r>
              <w:t xml:space="preserve"> - 1984</w:t>
            </w:r>
          </w:p>
        </w:tc>
        <w:tc>
          <w:tcPr>
            <w:tcW w:w="0" w:type="auto"/>
            <w:tcMar>
              <w:top w:w="15" w:type="dxa"/>
              <w:left w:w="15" w:type="dxa"/>
              <w:bottom w:w="15" w:type="dxa"/>
              <w:right w:w="15" w:type="dxa"/>
            </w:tcMar>
          </w:tcPr>
          <w:p w14:paraId="5B6C9EE9" w14:textId="4AA3212A" w:rsidR="00601FC4" w:rsidRDefault="00601FC4" w:rsidP="001C4689">
            <w:r>
              <w:t xml:space="preserve">Research </w:t>
            </w:r>
            <w:r w:rsidR="002B2704">
              <w:t>Assistant</w:t>
            </w:r>
            <w:r>
              <w:t xml:space="preserve">, </w:t>
            </w:r>
            <w:r w:rsidR="002B2704">
              <w:t>Environ</w:t>
            </w:r>
            <w:r w:rsidR="00DE4C5F">
              <w:t>.</w:t>
            </w:r>
            <w:r w:rsidR="002B2704">
              <w:t xml:space="preserve"> Toxicology Program</w:t>
            </w:r>
            <w:r w:rsidR="00D12C11">
              <w:t xml:space="preserve">, </w:t>
            </w:r>
            <w:r>
              <w:t>University of Wisconsin, Madison, WI</w:t>
            </w:r>
          </w:p>
        </w:tc>
      </w:tr>
      <w:tr w:rsidR="00DE4B42" w14:paraId="41D21302" w14:textId="77777777" w:rsidTr="001C4689">
        <w:tc>
          <w:tcPr>
            <w:tcW w:w="1530" w:type="dxa"/>
            <w:tcMar>
              <w:top w:w="15" w:type="dxa"/>
              <w:left w:w="15" w:type="dxa"/>
              <w:bottom w:w="15" w:type="dxa"/>
              <w:right w:w="15" w:type="dxa"/>
            </w:tcMar>
          </w:tcPr>
          <w:p w14:paraId="3736FB36" w14:textId="176C2D3D" w:rsidR="00DE4B42" w:rsidRDefault="00DE4B42" w:rsidP="00DE4B42">
            <w:r w:rsidRPr="009C6750">
              <w:t>1980</w:t>
            </w:r>
            <w:r>
              <w:t xml:space="preserve"> </w:t>
            </w:r>
            <w:r w:rsidRPr="009C6750">
              <w:t>-</w:t>
            </w:r>
            <w:r>
              <w:t xml:space="preserve"> </w:t>
            </w:r>
            <w:r w:rsidRPr="009C6750">
              <w:t>1981</w:t>
            </w:r>
          </w:p>
        </w:tc>
        <w:tc>
          <w:tcPr>
            <w:tcW w:w="0" w:type="auto"/>
            <w:tcMar>
              <w:top w:w="15" w:type="dxa"/>
              <w:left w:w="15" w:type="dxa"/>
              <w:bottom w:w="15" w:type="dxa"/>
              <w:right w:w="15" w:type="dxa"/>
            </w:tcMar>
          </w:tcPr>
          <w:p w14:paraId="53501212" w14:textId="6AFE8A7F" w:rsidR="00DE4B42" w:rsidRDefault="00DE4B42" w:rsidP="00DE4B42">
            <w:r w:rsidRPr="009C6750">
              <w:t>Teaching Assistant, Dept. Chemical Engineering, University of Wisconsin, Madison, WI</w:t>
            </w:r>
          </w:p>
        </w:tc>
      </w:tr>
      <w:tr w:rsidR="004356DF" w14:paraId="0B50DEB9" w14:textId="77777777" w:rsidTr="001C4689">
        <w:tc>
          <w:tcPr>
            <w:tcW w:w="1530" w:type="dxa"/>
            <w:tcMar>
              <w:top w:w="15" w:type="dxa"/>
              <w:left w:w="15" w:type="dxa"/>
              <w:bottom w:w="15" w:type="dxa"/>
              <w:right w:w="15" w:type="dxa"/>
            </w:tcMar>
          </w:tcPr>
          <w:p w14:paraId="15179268" w14:textId="231AE583" w:rsidR="004356DF" w:rsidRDefault="004356DF" w:rsidP="001C4689">
            <w:r>
              <w:t>1978 - 198</w:t>
            </w:r>
            <w:r w:rsidR="002B2704">
              <w:t>0</w:t>
            </w:r>
          </w:p>
        </w:tc>
        <w:tc>
          <w:tcPr>
            <w:tcW w:w="0" w:type="auto"/>
            <w:tcMar>
              <w:top w:w="15" w:type="dxa"/>
              <w:left w:w="15" w:type="dxa"/>
              <w:bottom w:w="15" w:type="dxa"/>
              <w:right w:w="15" w:type="dxa"/>
            </w:tcMar>
          </w:tcPr>
          <w:p w14:paraId="4458520F" w14:textId="462D2D6B" w:rsidR="004356DF" w:rsidRDefault="004356DF" w:rsidP="001C4689">
            <w:r>
              <w:t xml:space="preserve">Research Assistant, </w:t>
            </w:r>
            <w:r w:rsidR="00D12C11">
              <w:t xml:space="preserve">Veterinary Science, </w:t>
            </w:r>
            <w:r>
              <w:t>University of Wisconsin, Madison, WI</w:t>
            </w:r>
          </w:p>
        </w:tc>
      </w:tr>
      <w:tr w:rsidR="006E5C64" w14:paraId="22BF9024" w14:textId="77777777">
        <w:tc>
          <w:tcPr>
            <w:tcW w:w="1530" w:type="dxa"/>
            <w:tcMar>
              <w:top w:w="15" w:type="dxa"/>
              <w:left w:w="15" w:type="dxa"/>
              <w:bottom w:w="15" w:type="dxa"/>
              <w:right w:w="15" w:type="dxa"/>
            </w:tcMar>
          </w:tcPr>
          <w:p w14:paraId="1871D298" w14:textId="56C13983" w:rsidR="006E5C64" w:rsidRDefault="006E5C64" w:rsidP="006E5C64">
            <w:r>
              <w:t xml:space="preserve">1976 - </w:t>
            </w:r>
            <w:r w:rsidRPr="00DF558D">
              <w:t>1977</w:t>
            </w:r>
          </w:p>
        </w:tc>
        <w:tc>
          <w:tcPr>
            <w:tcW w:w="0" w:type="auto"/>
            <w:tcMar>
              <w:top w:w="15" w:type="dxa"/>
              <w:left w:w="15" w:type="dxa"/>
              <w:bottom w:w="15" w:type="dxa"/>
              <w:right w:w="15" w:type="dxa"/>
            </w:tcMar>
          </w:tcPr>
          <w:p w14:paraId="61A8C5F7" w14:textId="7312A13C" w:rsidR="006E5C64" w:rsidRDefault="006E5C64" w:rsidP="006E5C64">
            <w:r w:rsidRPr="00DF558D">
              <w:t>Engineering Intern, Dept. Mechanical Engineering, University of Wisconsin, Madison, WI</w:t>
            </w:r>
          </w:p>
        </w:tc>
      </w:tr>
    </w:tbl>
    <w:p w14:paraId="0D738965" w14:textId="6D6B8EEA" w:rsidR="00350B38" w:rsidRPr="00B75301" w:rsidRDefault="00E86514" w:rsidP="00F273BC">
      <w:pPr>
        <w:pStyle w:val="h3underline"/>
        <w:spacing w:before="120" w:after="0"/>
        <w:rPr>
          <w:sz w:val="24"/>
        </w:rPr>
      </w:pPr>
      <w:r>
        <w:rPr>
          <w:rFonts w:ascii="Arial" w:eastAsia="Arial" w:hAnsi="Arial" w:cs="Arial"/>
          <w:sz w:val="24"/>
          <w:szCs w:val="26"/>
        </w:rPr>
        <w:t>Scientific Appointments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DE0CC9" w14:paraId="5BAAF98B" w14:textId="77777777">
        <w:tc>
          <w:tcPr>
            <w:tcW w:w="1530" w:type="dxa"/>
            <w:tcMar>
              <w:top w:w="15" w:type="dxa"/>
              <w:left w:w="15" w:type="dxa"/>
              <w:bottom w:w="15" w:type="dxa"/>
              <w:right w:w="15" w:type="dxa"/>
            </w:tcMar>
          </w:tcPr>
          <w:p w14:paraId="66B9A683" w14:textId="7BD77B95" w:rsidR="00DE0CC9" w:rsidRDefault="00DE0CC9" w:rsidP="00AC5DB7">
            <w:r>
              <w:t>2021-present</w:t>
            </w:r>
          </w:p>
        </w:tc>
        <w:tc>
          <w:tcPr>
            <w:tcW w:w="0" w:type="auto"/>
            <w:tcMar>
              <w:top w:w="15" w:type="dxa"/>
              <w:left w:w="15" w:type="dxa"/>
              <w:bottom w:w="15" w:type="dxa"/>
              <w:right w:w="15" w:type="dxa"/>
            </w:tcMar>
          </w:tcPr>
          <w:p w14:paraId="7B35D7F6" w14:textId="158B5E5D" w:rsidR="00DE0CC9" w:rsidRDefault="00DE0CC9" w:rsidP="00AC5DB7">
            <w:r>
              <w:t xml:space="preserve">Chair, </w:t>
            </w:r>
            <w:r w:rsidRPr="00DE0CC9">
              <w:t>Committee on Toxicology</w:t>
            </w:r>
            <w:r>
              <w:t>,</w:t>
            </w:r>
            <w:r w:rsidRPr="00DE0CC9">
              <w:t xml:space="preserve"> National Academy of Sciences</w:t>
            </w:r>
          </w:p>
        </w:tc>
      </w:tr>
      <w:tr w:rsidR="00524216" w14:paraId="619133DB" w14:textId="77777777">
        <w:tc>
          <w:tcPr>
            <w:tcW w:w="1530" w:type="dxa"/>
            <w:tcMar>
              <w:top w:w="15" w:type="dxa"/>
              <w:left w:w="15" w:type="dxa"/>
              <w:bottom w:w="15" w:type="dxa"/>
              <w:right w:w="15" w:type="dxa"/>
            </w:tcMar>
          </w:tcPr>
          <w:p w14:paraId="1BED419B" w14:textId="0BEE7186" w:rsidR="00524216" w:rsidRPr="00DE0CC9" w:rsidRDefault="00524216" w:rsidP="00AC5DB7">
            <w:r>
              <w:t>2021-present</w:t>
            </w:r>
          </w:p>
        </w:tc>
        <w:tc>
          <w:tcPr>
            <w:tcW w:w="0" w:type="auto"/>
            <w:tcMar>
              <w:top w:w="15" w:type="dxa"/>
              <w:left w:w="15" w:type="dxa"/>
              <w:bottom w:w="15" w:type="dxa"/>
              <w:right w:w="15" w:type="dxa"/>
            </w:tcMar>
          </w:tcPr>
          <w:p w14:paraId="77FA8A1B" w14:textId="5E1D8710" w:rsidR="00524216" w:rsidRPr="00DE0CC9" w:rsidRDefault="00524216" w:rsidP="00AC5DB7">
            <w:r>
              <w:t xml:space="preserve">Science Advisory Board, U.S. EPA, member </w:t>
            </w:r>
          </w:p>
        </w:tc>
      </w:tr>
      <w:tr w:rsidR="00FC7067" w14:paraId="5CC75B13" w14:textId="77777777">
        <w:tc>
          <w:tcPr>
            <w:tcW w:w="1530" w:type="dxa"/>
            <w:tcMar>
              <w:top w:w="15" w:type="dxa"/>
              <w:left w:w="15" w:type="dxa"/>
              <w:bottom w:w="15" w:type="dxa"/>
              <w:right w:w="15" w:type="dxa"/>
            </w:tcMar>
          </w:tcPr>
          <w:p w14:paraId="1F793288" w14:textId="2F802695" w:rsidR="00FC7067" w:rsidRPr="00DE0CC9" w:rsidRDefault="00FC7067" w:rsidP="00AC5DB7">
            <w:r>
              <w:t>2019-present</w:t>
            </w:r>
          </w:p>
        </w:tc>
        <w:tc>
          <w:tcPr>
            <w:tcW w:w="0" w:type="auto"/>
            <w:tcMar>
              <w:top w:w="15" w:type="dxa"/>
              <w:left w:w="15" w:type="dxa"/>
              <w:bottom w:w="15" w:type="dxa"/>
              <w:right w:w="15" w:type="dxa"/>
            </w:tcMar>
          </w:tcPr>
          <w:p w14:paraId="07943BD0" w14:textId="4E9EC9BE" w:rsidR="00FC7067" w:rsidRPr="00DE0CC9" w:rsidRDefault="00FC7067" w:rsidP="00AC5DB7">
            <w:r>
              <w:t>Health Effects Institute</w:t>
            </w:r>
            <w:r w:rsidR="00DB7CBE">
              <w:t>, Energy Research Board, member</w:t>
            </w:r>
          </w:p>
        </w:tc>
      </w:tr>
      <w:tr w:rsidR="00987530" w14:paraId="528D66A0" w14:textId="77777777">
        <w:tc>
          <w:tcPr>
            <w:tcW w:w="1530" w:type="dxa"/>
            <w:tcMar>
              <w:top w:w="15" w:type="dxa"/>
              <w:left w:w="15" w:type="dxa"/>
              <w:bottom w:w="15" w:type="dxa"/>
              <w:right w:w="15" w:type="dxa"/>
            </w:tcMar>
          </w:tcPr>
          <w:p w14:paraId="647F64AE" w14:textId="14AD0283" w:rsidR="00987530" w:rsidRPr="00DE0CC9" w:rsidRDefault="00987530" w:rsidP="00AC5DB7">
            <w:r w:rsidRPr="00DE0CC9">
              <w:t>201</w:t>
            </w:r>
            <w:r w:rsidR="00AC5DB7" w:rsidRPr="00DE0CC9">
              <w:t>7-present</w:t>
            </w:r>
          </w:p>
        </w:tc>
        <w:tc>
          <w:tcPr>
            <w:tcW w:w="0" w:type="auto"/>
            <w:tcMar>
              <w:top w:w="15" w:type="dxa"/>
              <w:left w:w="15" w:type="dxa"/>
              <w:bottom w:w="15" w:type="dxa"/>
              <w:right w:w="15" w:type="dxa"/>
            </w:tcMar>
          </w:tcPr>
          <w:p w14:paraId="06465090" w14:textId="4466422B" w:rsidR="00987530" w:rsidRPr="00DE0CC9" w:rsidRDefault="00DE0CC9" w:rsidP="00AC5DB7">
            <w:r w:rsidRPr="00DE0CC9">
              <w:t>Committee on Toxicology</w:t>
            </w:r>
            <w:r>
              <w:t>,</w:t>
            </w:r>
            <w:r w:rsidRPr="00DE0CC9">
              <w:t xml:space="preserve"> </w:t>
            </w:r>
            <w:r w:rsidR="00AC5DB7" w:rsidRPr="00DE0CC9">
              <w:t>National Academy of Sciences</w:t>
            </w:r>
            <w:r w:rsidR="00524216">
              <w:t>, member</w:t>
            </w:r>
            <w:r w:rsidR="00AC5DB7" w:rsidRPr="00DE0CC9">
              <w:t xml:space="preserve"> </w:t>
            </w:r>
          </w:p>
        </w:tc>
      </w:tr>
      <w:tr w:rsidR="006E769F" w14:paraId="66599AB1" w14:textId="77777777" w:rsidTr="00A7387C">
        <w:tc>
          <w:tcPr>
            <w:tcW w:w="1530" w:type="dxa"/>
            <w:tcMar>
              <w:top w:w="15" w:type="dxa"/>
              <w:left w:w="15" w:type="dxa"/>
              <w:bottom w:w="15" w:type="dxa"/>
              <w:right w:w="15" w:type="dxa"/>
            </w:tcMar>
          </w:tcPr>
          <w:p w14:paraId="2059B1C4" w14:textId="10C9252E" w:rsidR="006E769F" w:rsidRDefault="006E769F" w:rsidP="00A7387C">
            <w:r>
              <w:t>20</w:t>
            </w:r>
            <w:r w:rsidR="00A7441A">
              <w:t>17-present</w:t>
            </w:r>
          </w:p>
        </w:tc>
        <w:tc>
          <w:tcPr>
            <w:tcW w:w="0" w:type="auto"/>
            <w:tcMar>
              <w:top w:w="15" w:type="dxa"/>
              <w:left w:w="15" w:type="dxa"/>
              <w:bottom w:w="15" w:type="dxa"/>
              <w:right w:w="15" w:type="dxa"/>
            </w:tcMar>
          </w:tcPr>
          <w:p w14:paraId="2C056753" w14:textId="560E056D" w:rsidR="006E769F" w:rsidRDefault="00A7441A" w:rsidP="00A7387C">
            <w:r>
              <w:t>Environmental Policy Committee, American Thoracic Society</w:t>
            </w:r>
            <w:r w:rsidR="00524216">
              <w:t>, member</w:t>
            </w:r>
          </w:p>
        </w:tc>
      </w:tr>
      <w:tr w:rsidR="004F7530" w14:paraId="1255F5A1" w14:textId="77777777" w:rsidTr="001C4689">
        <w:tc>
          <w:tcPr>
            <w:tcW w:w="1530" w:type="dxa"/>
            <w:tcMar>
              <w:top w:w="15" w:type="dxa"/>
              <w:left w:w="15" w:type="dxa"/>
              <w:bottom w:w="15" w:type="dxa"/>
              <w:right w:w="15" w:type="dxa"/>
            </w:tcMar>
          </w:tcPr>
          <w:p w14:paraId="2565E6B4" w14:textId="77777777" w:rsidR="004F7530" w:rsidRDefault="004F7530" w:rsidP="001C4689">
            <w:r>
              <w:t>2013-2020</w:t>
            </w:r>
          </w:p>
        </w:tc>
        <w:tc>
          <w:tcPr>
            <w:tcW w:w="0" w:type="auto"/>
            <w:tcMar>
              <w:top w:w="15" w:type="dxa"/>
              <w:left w:w="15" w:type="dxa"/>
              <w:bottom w:w="15" w:type="dxa"/>
              <w:right w:w="15" w:type="dxa"/>
            </w:tcMar>
          </w:tcPr>
          <w:p w14:paraId="5150583D" w14:textId="047B6C9B" w:rsidR="004F7530" w:rsidRDefault="00DE0CC9" w:rsidP="001C4689">
            <w:r>
              <w:t xml:space="preserve">Board on Environmental Studies &amp; Toxicology, </w:t>
            </w:r>
            <w:r w:rsidR="004F7530">
              <w:t>National Academy of Sciences</w:t>
            </w:r>
            <w:r w:rsidR="00524216">
              <w:t>, member</w:t>
            </w:r>
          </w:p>
        </w:tc>
      </w:tr>
      <w:tr w:rsidR="004F7530" w14:paraId="26E53935" w14:textId="77777777" w:rsidTr="001C4689">
        <w:tc>
          <w:tcPr>
            <w:tcW w:w="1530" w:type="dxa"/>
            <w:tcMar>
              <w:top w:w="15" w:type="dxa"/>
              <w:left w:w="15" w:type="dxa"/>
              <w:bottom w:w="15" w:type="dxa"/>
              <w:right w:w="15" w:type="dxa"/>
            </w:tcMar>
          </w:tcPr>
          <w:p w14:paraId="310C7F68" w14:textId="77777777" w:rsidR="004F7530" w:rsidRDefault="004F7530" w:rsidP="001C4689">
            <w:r>
              <w:t>2011-2017</w:t>
            </w:r>
          </w:p>
        </w:tc>
        <w:tc>
          <w:tcPr>
            <w:tcW w:w="0" w:type="auto"/>
            <w:tcMar>
              <w:top w:w="15" w:type="dxa"/>
              <w:left w:w="15" w:type="dxa"/>
              <w:bottom w:w="15" w:type="dxa"/>
              <w:right w:w="15" w:type="dxa"/>
            </w:tcMar>
          </w:tcPr>
          <w:p w14:paraId="47807A6B" w14:textId="6C3056C5" w:rsidR="004F7530" w:rsidRDefault="004F7530" w:rsidP="001C4689">
            <w:r>
              <w:t>Chair</w:t>
            </w:r>
            <w:r w:rsidR="00EE7A15">
              <w:t xml:space="preserve">, </w:t>
            </w:r>
            <w:r>
              <w:t xml:space="preserve">Science Advisory Board, </w:t>
            </w:r>
            <w:r w:rsidR="00DE0CC9">
              <w:t>U.S. EPA</w:t>
            </w:r>
            <w:r w:rsidR="00524216">
              <w:t xml:space="preserve">, </w:t>
            </w:r>
            <w:r w:rsidR="00EE7A15">
              <w:t>member 2011-17, chair 2015-17</w:t>
            </w:r>
          </w:p>
        </w:tc>
      </w:tr>
      <w:tr w:rsidR="004F7530" w14:paraId="3CB3A2C4" w14:textId="77777777" w:rsidTr="001C4689">
        <w:tc>
          <w:tcPr>
            <w:tcW w:w="1530" w:type="dxa"/>
            <w:tcMar>
              <w:top w:w="15" w:type="dxa"/>
              <w:left w:w="15" w:type="dxa"/>
              <w:bottom w:w="15" w:type="dxa"/>
              <w:right w:w="15" w:type="dxa"/>
            </w:tcMar>
          </w:tcPr>
          <w:p w14:paraId="7D2B0E10" w14:textId="77777777" w:rsidR="004F7530" w:rsidRDefault="004F7530" w:rsidP="001C4689">
            <w:r>
              <w:t>2003-2007</w:t>
            </w:r>
          </w:p>
        </w:tc>
        <w:tc>
          <w:tcPr>
            <w:tcW w:w="0" w:type="auto"/>
            <w:tcMar>
              <w:top w:w="15" w:type="dxa"/>
              <w:left w:w="15" w:type="dxa"/>
              <w:bottom w:w="15" w:type="dxa"/>
              <w:right w:w="15" w:type="dxa"/>
            </w:tcMar>
          </w:tcPr>
          <w:p w14:paraId="77C787DA" w14:textId="406547F1" w:rsidR="004F7530" w:rsidRDefault="004F7530" w:rsidP="001C4689">
            <w:r>
              <w:t>National Advisory Environmental Health Sciences Council</w:t>
            </w:r>
            <w:r w:rsidR="00DE0CC9">
              <w:t>, NIEHS</w:t>
            </w:r>
            <w:r w:rsidR="00EE7A15">
              <w:t>, mem</w:t>
            </w:r>
            <w:r w:rsidR="00E34D66">
              <w:t>ber</w:t>
            </w:r>
          </w:p>
        </w:tc>
      </w:tr>
      <w:tr w:rsidR="004F7530" w14:paraId="2EE5EF08" w14:textId="77777777" w:rsidTr="001C4689">
        <w:tc>
          <w:tcPr>
            <w:tcW w:w="1530" w:type="dxa"/>
            <w:tcMar>
              <w:top w:w="15" w:type="dxa"/>
              <w:left w:w="15" w:type="dxa"/>
              <w:bottom w:w="15" w:type="dxa"/>
              <w:right w:w="15" w:type="dxa"/>
            </w:tcMar>
          </w:tcPr>
          <w:p w14:paraId="6586BC11" w14:textId="77777777" w:rsidR="004F7530" w:rsidRDefault="004F7530" w:rsidP="001C4689">
            <w:r>
              <w:t>2001-2001</w:t>
            </w:r>
          </w:p>
        </w:tc>
        <w:tc>
          <w:tcPr>
            <w:tcW w:w="0" w:type="auto"/>
            <w:tcMar>
              <w:top w:w="15" w:type="dxa"/>
              <w:left w:w="15" w:type="dxa"/>
              <w:bottom w:w="15" w:type="dxa"/>
              <w:right w:w="15" w:type="dxa"/>
            </w:tcMar>
          </w:tcPr>
          <w:p w14:paraId="7CE9C2DF" w14:textId="6F15FD69" w:rsidR="004F7530" w:rsidRDefault="004F7530" w:rsidP="001C4689">
            <w:r>
              <w:t>Chair, Occupational Health Study Section</w:t>
            </w:r>
            <w:r w:rsidR="003D5ABC">
              <w:t>, CSR</w:t>
            </w:r>
            <w:r>
              <w:t xml:space="preserve"> </w:t>
            </w:r>
            <w:r w:rsidR="003D5ABC">
              <w:t>NIOSH</w:t>
            </w:r>
          </w:p>
        </w:tc>
      </w:tr>
      <w:tr w:rsidR="004F7530" w14:paraId="1D59DBF9" w14:textId="77777777" w:rsidTr="001C4689">
        <w:tc>
          <w:tcPr>
            <w:tcW w:w="1530" w:type="dxa"/>
            <w:tcMar>
              <w:top w:w="15" w:type="dxa"/>
              <w:left w:w="15" w:type="dxa"/>
              <w:bottom w:w="15" w:type="dxa"/>
              <w:right w:w="15" w:type="dxa"/>
            </w:tcMar>
          </w:tcPr>
          <w:p w14:paraId="7A0809EC" w14:textId="77777777" w:rsidR="004F7530" w:rsidRDefault="004F7530" w:rsidP="001C4689">
            <w:r>
              <w:t>2000-2007</w:t>
            </w:r>
          </w:p>
        </w:tc>
        <w:tc>
          <w:tcPr>
            <w:tcW w:w="0" w:type="auto"/>
            <w:tcMar>
              <w:top w:w="15" w:type="dxa"/>
              <w:left w:w="15" w:type="dxa"/>
              <w:bottom w:w="15" w:type="dxa"/>
              <w:right w:w="15" w:type="dxa"/>
            </w:tcMar>
          </w:tcPr>
          <w:p w14:paraId="2171947A" w14:textId="77777777" w:rsidR="004F7530" w:rsidRDefault="004F7530" w:rsidP="001C4689">
            <w:r>
              <w:t>Science Advisory Panel, Canadian Animal and Human Health Study of Oil and Gas Drilling</w:t>
            </w:r>
          </w:p>
        </w:tc>
      </w:tr>
      <w:tr w:rsidR="004F7530" w14:paraId="6EB20C96" w14:textId="77777777" w:rsidTr="001C4689">
        <w:tc>
          <w:tcPr>
            <w:tcW w:w="1530" w:type="dxa"/>
            <w:tcMar>
              <w:top w:w="15" w:type="dxa"/>
              <w:left w:w="15" w:type="dxa"/>
              <w:bottom w:w="15" w:type="dxa"/>
              <w:right w:w="15" w:type="dxa"/>
            </w:tcMar>
          </w:tcPr>
          <w:p w14:paraId="6F4C5834" w14:textId="77777777" w:rsidR="004F7530" w:rsidRDefault="004F7530" w:rsidP="001C4689">
            <w:r>
              <w:t>2000-2002</w:t>
            </w:r>
          </w:p>
        </w:tc>
        <w:tc>
          <w:tcPr>
            <w:tcW w:w="0" w:type="auto"/>
            <w:tcMar>
              <w:top w:w="15" w:type="dxa"/>
              <w:left w:w="15" w:type="dxa"/>
              <w:bottom w:w="15" w:type="dxa"/>
              <w:right w:w="15" w:type="dxa"/>
            </w:tcMar>
          </w:tcPr>
          <w:p w14:paraId="5EE0BCA6" w14:textId="6A932E1A" w:rsidR="004F7530" w:rsidRDefault="004F7530" w:rsidP="001C4689">
            <w:r>
              <w:t>Chair, Occupational Health Specialty Section</w:t>
            </w:r>
            <w:r w:rsidR="003D5ABC">
              <w:t>, Society of Toxicology</w:t>
            </w:r>
          </w:p>
        </w:tc>
      </w:tr>
      <w:tr w:rsidR="004F7530" w14:paraId="1FD947C2" w14:textId="77777777" w:rsidTr="001C4689">
        <w:tc>
          <w:tcPr>
            <w:tcW w:w="1530" w:type="dxa"/>
            <w:tcMar>
              <w:top w:w="15" w:type="dxa"/>
              <w:left w:w="15" w:type="dxa"/>
              <w:bottom w:w="15" w:type="dxa"/>
              <w:right w:w="15" w:type="dxa"/>
            </w:tcMar>
          </w:tcPr>
          <w:p w14:paraId="605D377B" w14:textId="77777777" w:rsidR="004F7530" w:rsidRDefault="004F7530" w:rsidP="001C4689">
            <w:r>
              <w:t>1999-2002</w:t>
            </w:r>
          </w:p>
        </w:tc>
        <w:tc>
          <w:tcPr>
            <w:tcW w:w="0" w:type="auto"/>
            <w:tcMar>
              <w:top w:w="15" w:type="dxa"/>
              <w:left w:w="15" w:type="dxa"/>
              <w:bottom w:w="15" w:type="dxa"/>
              <w:right w:w="15" w:type="dxa"/>
            </w:tcMar>
          </w:tcPr>
          <w:p w14:paraId="73265008" w14:textId="275C0C75" w:rsidR="004F7530" w:rsidRDefault="004F7530" w:rsidP="001C4689">
            <w:r>
              <w:t>Occupational Health Study Section</w:t>
            </w:r>
            <w:r w:rsidR="003D5ABC">
              <w:t>, CSR NIOSH</w:t>
            </w:r>
            <w:r w:rsidR="00E34D66">
              <w:t>, member</w:t>
            </w:r>
          </w:p>
        </w:tc>
      </w:tr>
      <w:tr w:rsidR="004F7530" w14:paraId="28A1681E" w14:textId="77777777" w:rsidTr="001C4689">
        <w:tc>
          <w:tcPr>
            <w:tcW w:w="1530" w:type="dxa"/>
            <w:tcMar>
              <w:top w:w="15" w:type="dxa"/>
              <w:left w:w="15" w:type="dxa"/>
              <w:bottom w:w="15" w:type="dxa"/>
              <w:right w:w="15" w:type="dxa"/>
            </w:tcMar>
          </w:tcPr>
          <w:p w14:paraId="12D8CD5A" w14:textId="77777777" w:rsidR="004F7530" w:rsidRDefault="004F7530" w:rsidP="001C4689">
            <w:r>
              <w:t>1997-1998</w:t>
            </w:r>
          </w:p>
        </w:tc>
        <w:tc>
          <w:tcPr>
            <w:tcW w:w="0" w:type="auto"/>
            <w:tcMar>
              <w:top w:w="15" w:type="dxa"/>
              <w:left w:w="15" w:type="dxa"/>
              <w:bottom w:w="15" w:type="dxa"/>
              <w:right w:w="15" w:type="dxa"/>
            </w:tcMar>
          </w:tcPr>
          <w:p w14:paraId="224ABF80" w14:textId="777D711A" w:rsidR="004F7530" w:rsidRDefault="004F7530" w:rsidP="001C4689">
            <w:r>
              <w:t>Interagency Coordinating Committee on the Validation of Alternative Methods</w:t>
            </w:r>
            <w:r w:rsidR="003D5ABC">
              <w:t>, NIH-EPA-FDA,</w:t>
            </w:r>
            <w:r w:rsidR="00E34D66">
              <w:t xml:space="preserve"> member</w:t>
            </w:r>
          </w:p>
        </w:tc>
      </w:tr>
      <w:tr w:rsidR="004F7530" w14:paraId="765AD326" w14:textId="77777777" w:rsidTr="001C4689">
        <w:tc>
          <w:tcPr>
            <w:tcW w:w="1530" w:type="dxa"/>
            <w:tcMar>
              <w:top w:w="15" w:type="dxa"/>
              <w:left w:w="15" w:type="dxa"/>
              <w:bottom w:w="15" w:type="dxa"/>
              <w:right w:w="15" w:type="dxa"/>
            </w:tcMar>
          </w:tcPr>
          <w:p w14:paraId="53BD0DB6" w14:textId="77777777" w:rsidR="004F7530" w:rsidRDefault="004F7530" w:rsidP="001C4689">
            <w:r>
              <w:t>1993-</w:t>
            </w:r>
            <w:r w:rsidRPr="003D5ABC">
              <w:t>present</w:t>
            </w:r>
          </w:p>
        </w:tc>
        <w:tc>
          <w:tcPr>
            <w:tcW w:w="0" w:type="auto"/>
            <w:tcMar>
              <w:top w:w="15" w:type="dxa"/>
              <w:left w:w="15" w:type="dxa"/>
              <w:bottom w:w="15" w:type="dxa"/>
              <w:right w:w="15" w:type="dxa"/>
            </w:tcMar>
          </w:tcPr>
          <w:p w14:paraId="16C3F355" w14:textId="1AE77D83" w:rsidR="004F7530" w:rsidRDefault="003D5ABC" w:rsidP="001C4689">
            <w:r>
              <w:t xml:space="preserve">Ad Hoc review groups for </w:t>
            </w:r>
            <w:r w:rsidR="004F7530">
              <w:t xml:space="preserve">NIH, </w:t>
            </w:r>
            <w:r>
              <w:t xml:space="preserve">DOD, </w:t>
            </w:r>
            <w:r w:rsidR="004F7530">
              <w:t>NIOSH, EPA</w:t>
            </w:r>
            <w:r w:rsidR="00E34D66">
              <w:t>, member</w:t>
            </w:r>
          </w:p>
        </w:tc>
      </w:tr>
    </w:tbl>
    <w:p w14:paraId="15A6D873" w14:textId="77777777" w:rsidR="00350B38" w:rsidRPr="00B75301" w:rsidRDefault="00B92718" w:rsidP="00F273BC">
      <w:pPr>
        <w:pStyle w:val="h3underline"/>
        <w:spacing w:before="120" w:after="0"/>
        <w:rPr>
          <w:sz w:val="24"/>
        </w:rPr>
      </w:pPr>
      <w:r w:rsidRPr="00B75301">
        <w:rPr>
          <w:rFonts w:ascii="Arial" w:eastAsia="Arial" w:hAnsi="Arial" w:cs="Arial"/>
          <w:sz w:val="24"/>
          <w:szCs w:val="26"/>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8E1C92" w14:paraId="1055E173" w14:textId="77777777">
        <w:tc>
          <w:tcPr>
            <w:tcW w:w="1530" w:type="dxa"/>
            <w:tcMar>
              <w:top w:w="15" w:type="dxa"/>
              <w:left w:w="15" w:type="dxa"/>
              <w:bottom w:w="15" w:type="dxa"/>
              <w:right w:w="15" w:type="dxa"/>
            </w:tcMar>
          </w:tcPr>
          <w:p w14:paraId="0506EAFA" w14:textId="44AF6C44" w:rsidR="008E1C92" w:rsidRDefault="008E1C92">
            <w:r>
              <w:t>2022</w:t>
            </w:r>
          </w:p>
        </w:tc>
        <w:tc>
          <w:tcPr>
            <w:tcW w:w="0" w:type="auto"/>
            <w:tcMar>
              <w:top w:w="15" w:type="dxa"/>
              <w:left w:w="15" w:type="dxa"/>
              <w:bottom w:w="15" w:type="dxa"/>
              <w:right w:w="15" w:type="dxa"/>
            </w:tcMar>
          </w:tcPr>
          <w:p w14:paraId="757122ED" w14:textId="2F8B822D" w:rsidR="008E1C92" w:rsidRDefault="007652DC" w:rsidP="007E364E">
            <w:r>
              <w:t xml:space="preserve">Named </w:t>
            </w:r>
            <w:r w:rsidR="004A3D97">
              <w:t xml:space="preserve">to </w:t>
            </w:r>
            <w:r w:rsidR="008E1C92">
              <w:t>UI</w:t>
            </w:r>
            <w:r w:rsidR="004A3D97">
              <w:t xml:space="preserve"> </w:t>
            </w:r>
            <w:r w:rsidR="008E1C92">
              <w:t>Distinguished Chair</w:t>
            </w:r>
            <w:r w:rsidR="004A3D97">
              <w:t>, University of Iowa</w:t>
            </w:r>
          </w:p>
        </w:tc>
      </w:tr>
      <w:tr w:rsidR="009242AB" w14:paraId="550C178C" w14:textId="77777777">
        <w:tc>
          <w:tcPr>
            <w:tcW w:w="1530" w:type="dxa"/>
            <w:tcMar>
              <w:top w:w="15" w:type="dxa"/>
              <w:left w:w="15" w:type="dxa"/>
              <w:bottom w:w="15" w:type="dxa"/>
              <w:right w:w="15" w:type="dxa"/>
            </w:tcMar>
          </w:tcPr>
          <w:p w14:paraId="2DAA7543" w14:textId="4FD1314D" w:rsidR="009242AB" w:rsidRDefault="009242AB">
            <w:r>
              <w:t>2018</w:t>
            </w:r>
          </w:p>
        </w:tc>
        <w:tc>
          <w:tcPr>
            <w:tcW w:w="0" w:type="auto"/>
            <w:tcMar>
              <w:top w:w="15" w:type="dxa"/>
              <w:left w:w="15" w:type="dxa"/>
              <w:bottom w:w="15" w:type="dxa"/>
              <w:right w:w="15" w:type="dxa"/>
            </w:tcMar>
          </w:tcPr>
          <w:p w14:paraId="7F615BCF" w14:textId="77777777" w:rsidR="009242AB" w:rsidRDefault="007E364E" w:rsidP="007E364E">
            <w:r>
              <w:t xml:space="preserve">Board of </w:t>
            </w:r>
            <w:r w:rsidR="009242AB" w:rsidRPr="009242AB">
              <w:t>Regents Award for Faculty Excellence</w:t>
            </w:r>
            <w:r w:rsidR="009242AB">
              <w:t xml:space="preserve">, </w:t>
            </w:r>
            <w:r>
              <w:t xml:space="preserve">State </w:t>
            </w:r>
            <w:r w:rsidR="009242AB">
              <w:t>of Iowa</w:t>
            </w:r>
          </w:p>
        </w:tc>
      </w:tr>
      <w:tr w:rsidR="00632626" w14:paraId="097F4CCA" w14:textId="77777777" w:rsidTr="001C4689">
        <w:tc>
          <w:tcPr>
            <w:tcW w:w="1530" w:type="dxa"/>
            <w:tcMar>
              <w:top w:w="15" w:type="dxa"/>
              <w:left w:w="15" w:type="dxa"/>
              <w:bottom w:w="15" w:type="dxa"/>
              <w:right w:w="15" w:type="dxa"/>
            </w:tcMar>
          </w:tcPr>
          <w:p w14:paraId="473B0DB1" w14:textId="77777777" w:rsidR="00632626" w:rsidRDefault="00632626" w:rsidP="001C4689">
            <w:r>
              <w:t>2017</w:t>
            </w:r>
          </w:p>
        </w:tc>
        <w:tc>
          <w:tcPr>
            <w:tcW w:w="0" w:type="auto"/>
            <w:tcMar>
              <w:top w:w="15" w:type="dxa"/>
              <w:left w:w="15" w:type="dxa"/>
              <w:bottom w:w="15" w:type="dxa"/>
              <w:right w:w="15" w:type="dxa"/>
            </w:tcMar>
          </w:tcPr>
          <w:p w14:paraId="3F89188A" w14:textId="77777777" w:rsidR="00632626" w:rsidRDefault="00632626" w:rsidP="001C4689">
            <w:r>
              <w:t>Scholar of the Year Award, University of Iowa</w:t>
            </w:r>
          </w:p>
        </w:tc>
      </w:tr>
      <w:tr w:rsidR="00632626" w14:paraId="2C117107" w14:textId="77777777" w:rsidTr="001C4689">
        <w:tc>
          <w:tcPr>
            <w:tcW w:w="1530" w:type="dxa"/>
            <w:tcMar>
              <w:top w:w="15" w:type="dxa"/>
              <w:left w:w="15" w:type="dxa"/>
              <w:bottom w:w="15" w:type="dxa"/>
              <w:right w:w="15" w:type="dxa"/>
            </w:tcMar>
          </w:tcPr>
          <w:p w14:paraId="557580F4" w14:textId="77777777" w:rsidR="00632626" w:rsidRDefault="00632626" w:rsidP="001C4689">
            <w:r>
              <w:t>2013</w:t>
            </w:r>
          </w:p>
        </w:tc>
        <w:tc>
          <w:tcPr>
            <w:tcW w:w="0" w:type="auto"/>
            <w:tcMar>
              <w:top w:w="15" w:type="dxa"/>
              <w:left w:w="15" w:type="dxa"/>
              <w:bottom w:w="15" w:type="dxa"/>
              <w:right w:w="15" w:type="dxa"/>
            </w:tcMar>
          </w:tcPr>
          <w:p w14:paraId="17E0F486" w14:textId="77777777" w:rsidR="00632626" w:rsidRDefault="00632626" w:rsidP="001C4689">
            <w:r>
              <w:t xml:space="preserve">Distinguished Faculty Award &amp; Lecture, University of Iowa College of Public Health </w:t>
            </w:r>
          </w:p>
        </w:tc>
      </w:tr>
      <w:tr w:rsidR="00632626" w14:paraId="6DF7C9D8" w14:textId="77777777" w:rsidTr="001C4689">
        <w:tc>
          <w:tcPr>
            <w:tcW w:w="1530" w:type="dxa"/>
            <w:tcMar>
              <w:top w:w="15" w:type="dxa"/>
              <w:left w:w="15" w:type="dxa"/>
              <w:bottom w:w="15" w:type="dxa"/>
              <w:right w:w="15" w:type="dxa"/>
            </w:tcMar>
          </w:tcPr>
          <w:p w14:paraId="3EDFC0BF" w14:textId="77777777" w:rsidR="00632626" w:rsidRDefault="00632626" w:rsidP="001C4689">
            <w:r>
              <w:t>2010</w:t>
            </w:r>
          </w:p>
        </w:tc>
        <w:tc>
          <w:tcPr>
            <w:tcW w:w="0" w:type="auto"/>
            <w:tcMar>
              <w:top w:w="15" w:type="dxa"/>
              <w:left w:w="15" w:type="dxa"/>
              <w:bottom w:w="15" w:type="dxa"/>
              <w:right w:w="15" w:type="dxa"/>
            </w:tcMar>
          </w:tcPr>
          <w:p w14:paraId="28F22EBD" w14:textId="77777777" w:rsidR="00632626" w:rsidRDefault="00632626" w:rsidP="001C4689">
            <w:r>
              <w:t>Inductee, Delta Omega Honorary Public Health Society</w:t>
            </w:r>
          </w:p>
        </w:tc>
      </w:tr>
      <w:tr w:rsidR="00632626" w14:paraId="025884D7" w14:textId="77777777" w:rsidTr="001C4689">
        <w:tc>
          <w:tcPr>
            <w:tcW w:w="1530" w:type="dxa"/>
            <w:tcMar>
              <w:top w:w="15" w:type="dxa"/>
              <w:left w:w="15" w:type="dxa"/>
              <w:bottom w:w="15" w:type="dxa"/>
              <w:right w:w="15" w:type="dxa"/>
            </w:tcMar>
          </w:tcPr>
          <w:p w14:paraId="5FB9D1C3" w14:textId="77777777" w:rsidR="00632626" w:rsidRDefault="00632626" w:rsidP="001C4689">
            <w:r>
              <w:t>2010</w:t>
            </w:r>
          </w:p>
        </w:tc>
        <w:tc>
          <w:tcPr>
            <w:tcW w:w="0" w:type="auto"/>
            <w:tcMar>
              <w:top w:w="15" w:type="dxa"/>
              <w:left w:w="15" w:type="dxa"/>
              <w:bottom w:w="15" w:type="dxa"/>
              <w:right w:w="15" w:type="dxa"/>
            </w:tcMar>
          </w:tcPr>
          <w:p w14:paraId="76B113FB" w14:textId="77777777" w:rsidR="00632626" w:rsidRDefault="00632626" w:rsidP="001C4689">
            <w:r>
              <w:t>John Doull Award, Society of Toxicology, Central States Chapter</w:t>
            </w:r>
          </w:p>
        </w:tc>
      </w:tr>
      <w:tr w:rsidR="00632626" w14:paraId="6A757393" w14:textId="77777777" w:rsidTr="001C4689">
        <w:tc>
          <w:tcPr>
            <w:tcW w:w="1530" w:type="dxa"/>
            <w:tcMar>
              <w:top w:w="15" w:type="dxa"/>
              <w:left w:w="15" w:type="dxa"/>
              <w:bottom w:w="15" w:type="dxa"/>
              <w:right w:w="15" w:type="dxa"/>
            </w:tcMar>
          </w:tcPr>
          <w:p w14:paraId="70D8E115" w14:textId="77777777" w:rsidR="00632626" w:rsidRDefault="00632626" w:rsidP="001C4689">
            <w:r>
              <w:t>2009</w:t>
            </w:r>
          </w:p>
        </w:tc>
        <w:tc>
          <w:tcPr>
            <w:tcW w:w="0" w:type="auto"/>
            <w:tcMar>
              <w:top w:w="15" w:type="dxa"/>
              <w:left w:w="15" w:type="dxa"/>
              <w:bottom w:w="15" w:type="dxa"/>
              <w:right w:w="15" w:type="dxa"/>
            </w:tcMar>
          </w:tcPr>
          <w:p w14:paraId="4B3FD259" w14:textId="77777777" w:rsidR="00632626" w:rsidRDefault="00632626" w:rsidP="001C4689">
            <w:r>
              <w:t>Faculty Research Award, University of Iowa College of Public Health</w:t>
            </w:r>
          </w:p>
        </w:tc>
      </w:tr>
      <w:tr w:rsidR="00632626" w14:paraId="72267905" w14:textId="77777777" w:rsidTr="001C4689">
        <w:tc>
          <w:tcPr>
            <w:tcW w:w="1530" w:type="dxa"/>
            <w:tcMar>
              <w:top w:w="15" w:type="dxa"/>
              <w:left w:w="15" w:type="dxa"/>
              <w:bottom w:w="15" w:type="dxa"/>
              <w:right w:w="15" w:type="dxa"/>
            </w:tcMar>
          </w:tcPr>
          <w:p w14:paraId="7401ED91" w14:textId="77777777" w:rsidR="00632626" w:rsidRDefault="00632626" w:rsidP="001C4689">
            <w:r>
              <w:t>2004</w:t>
            </w:r>
          </w:p>
        </w:tc>
        <w:tc>
          <w:tcPr>
            <w:tcW w:w="0" w:type="auto"/>
            <w:tcMar>
              <w:top w:w="15" w:type="dxa"/>
              <w:left w:w="15" w:type="dxa"/>
              <w:bottom w:w="15" w:type="dxa"/>
              <w:right w:w="15" w:type="dxa"/>
            </w:tcMar>
          </w:tcPr>
          <w:p w14:paraId="0903CEF0" w14:textId="77777777" w:rsidR="00632626" w:rsidRDefault="00632626" w:rsidP="001C4689">
            <w:r>
              <w:t>Thomas Bedford Memorial Prize, British Occupational Hygiene Society</w:t>
            </w:r>
          </w:p>
        </w:tc>
      </w:tr>
      <w:tr w:rsidR="00632626" w14:paraId="24798390" w14:textId="77777777" w:rsidTr="001C4689">
        <w:tc>
          <w:tcPr>
            <w:tcW w:w="1530" w:type="dxa"/>
            <w:tcMar>
              <w:top w:w="15" w:type="dxa"/>
              <w:left w:w="15" w:type="dxa"/>
              <w:bottom w:w="15" w:type="dxa"/>
              <w:right w:w="15" w:type="dxa"/>
            </w:tcMar>
          </w:tcPr>
          <w:p w14:paraId="5E8A9F31" w14:textId="77777777" w:rsidR="00632626" w:rsidRDefault="00632626" w:rsidP="001C4689">
            <w:r>
              <w:t>2003</w:t>
            </w:r>
          </w:p>
        </w:tc>
        <w:tc>
          <w:tcPr>
            <w:tcW w:w="0" w:type="auto"/>
            <w:tcMar>
              <w:top w:w="15" w:type="dxa"/>
              <w:left w:w="15" w:type="dxa"/>
              <w:bottom w:w="15" w:type="dxa"/>
              <w:right w:w="15" w:type="dxa"/>
            </w:tcMar>
          </w:tcPr>
          <w:p w14:paraId="0709F7F1" w14:textId="77777777" w:rsidR="00632626" w:rsidRDefault="00632626" w:rsidP="001C4689">
            <w:r>
              <w:t>Moira J. Whitehead Memorial Lecturer, Children’s Hospital of Pittsburgh, UPMC</w:t>
            </w:r>
          </w:p>
        </w:tc>
      </w:tr>
      <w:tr w:rsidR="00632626" w14:paraId="04C56A92" w14:textId="77777777" w:rsidTr="001C4689">
        <w:tc>
          <w:tcPr>
            <w:tcW w:w="1530" w:type="dxa"/>
            <w:tcMar>
              <w:top w:w="15" w:type="dxa"/>
              <w:left w:w="15" w:type="dxa"/>
              <w:bottom w:w="15" w:type="dxa"/>
              <w:right w:w="15" w:type="dxa"/>
            </w:tcMar>
          </w:tcPr>
          <w:p w14:paraId="53782DC1" w14:textId="4A040729" w:rsidR="00632626" w:rsidRDefault="00632626" w:rsidP="001C4689">
            <w:r>
              <w:t>1982-1984</w:t>
            </w:r>
          </w:p>
        </w:tc>
        <w:tc>
          <w:tcPr>
            <w:tcW w:w="0" w:type="auto"/>
            <w:tcMar>
              <w:top w:w="15" w:type="dxa"/>
              <w:left w:w="15" w:type="dxa"/>
              <w:bottom w:w="15" w:type="dxa"/>
              <w:right w:w="15" w:type="dxa"/>
            </w:tcMar>
          </w:tcPr>
          <w:p w14:paraId="44803030" w14:textId="192BB6B8" w:rsidR="00632626" w:rsidRDefault="00886BF9" w:rsidP="001C4689">
            <w:r>
              <w:t xml:space="preserve">NIEHS </w:t>
            </w:r>
            <w:r w:rsidR="00632626">
              <w:t>National Research Service Award Trainee, University of Wisconsin, Madison, WI</w:t>
            </w:r>
          </w:p>
        </w:tc>
      </w:tr>
      <w:tr w:rsidR="00D04023" w14:paraId="6EFF323D" w14:textId="77777777" w:rsidTr="001C4689">
        <w:tc>
          <w:tcPr>
            <w:tcW w:w="1530" w:type="dxa"/>
            <w:tcMar>
              <w:top w:w="15" w:type="dxa"/>
              <w:left w:w="15" w:type="dxa"/>
              <w:bottom w:w="15" w:type="dxa"/>
              <w:right w:w="15" w:type="dxa"/>
            </w:tcMar>
          </w:tcPr>
          <w:p w14:paraId="618AB102" w14:textId="67DC4237" w:rsidR="00D04023" w:rsidRDefault="00D04023" w:rsidP="001C4689">
            <w:r>
              <w:t>1981-1982</w:t>
            </w:r>
          </w:p>
        </w:tc>
        <w:tc>
          <w:tcPr>
            <w:tcW w:w="0" w:type="auto"/>
            <w:tcMar>
              <w:top w:w="15" w:type="dxa"/>
              <w:left w:w="15" w:type="dxa"/>
              <w:bottom w:w="15" w:type="dxa"/>
              <w:right w:w="15" w:type="dxa"/>
            </w:tcMar>
          </w:tcPr>
          <w:p w14:paraId="20B586C0" w14:textId="20E7ADC5" w:rsidR="00FA08AE" w:rsidRDefault="00FA08AE" w:rsidP="00FA08AE">
            <w:r>
              <w:t>Vilas Graduate Fellowship, University of Wisconsin, Madison, WI</w:t>
            </w:r>
          </w:p>
        </w:tc>
      </w:tr>
      <w:tr w:rsidR="00FA08AE" w14:paraId="5D897BDA" w14:textId="77777777" w:rsidTr="001C4689">
        <w:tc>
          <w:tcPr>
            <w:tcW w:w="1530" w:type="dxa"/>
            <w:tcMar>
              <w:top w:w="15" w:type="dxa"/>
              <w:left w:w="15" w:type="dxa"/>
              <w:bottom w:w="15" w:type="dxa"/>
              <w:right w:w="15" w:type="dxa"/>
            </w:tcMar>
          </w:tcPr>
          <w:p w14:paraId="66521434" w14:textId="53B7626E" w:rsidR="00FA08AE" w:rsidRDefault="00FA08AE" w:rsidP="001C4689">
            <w:r>
              <w:t>1978</w:t>
            </w:r>
          </w:p>
        </w:tc>
        <w:tc>
          <w:tcPr>
            <w:tcW w:w="0" w:type="auto"/>
            <w:tcMar>
              <w:top w:w="15" w:type="dxa"/>
              <w:left w:w="15" w:type="dxa"/>
              <w:bottom w:w="15" w:type="dxa"/>
              <w:right w:w="15" w:type="dxa"/>
            </w:tcMar>
          </w:tcPr>
          <w:p w14:paraId="75DDEAE6" w14:textId="17676EB7" w:rsidR="00FA08AE" w:rsidRDefault="00FA08AE" w:rsidP="00FA08AE">
            <w:r>
              <w:t>Graduate with Honors</w:t>
            </w:r>
            <w:r w:rsidR="00C103A3">
              <w:t>, College of Engineering, University of Wisconsin,, Madison, WI</w:t>
            </w:r>
          </w:p>
        </w:tc>
      </w:tr>
    </w:tbl>
    <w:p w14:paraId="4BF03FBC" w14:textId="77777777" w:rsidR="00350B38" w:rsidRPr="00B75301" w:rsidRDefault="00B92718" w:rsidP="00F273BC">
      <w:pPr>
        <w:pStyle w:val="Heading3"/>
        <w:spacing w:before="120" w:after="0"/>
        <w:rPr>
          <w:sz w:val="24"/>
        </w:rPr>
      </w:pPr>
      <w:r w:rsidRPr="00B75301">
        <w:rPr>
          <w:rFonts w:ascii="Arial" w:eastAsia="Arial" w:hAnsi="Arial" w:cs="Arial"/>
          <w:sz w:val="24"/>
          <w:szCs w:val="26"/>
        </w:rPr>
        <w:t>C. Contribution</w:t>
      </w:r>
      <w:r w:rsidR="001F17A3" w:rsidRPr="00B75301">
        <w:rPr>
          <w:rFonts w:ascii="Arial" w:eastAsia="Arial" w:hAnsi="Arial" w:cs="Arial"/>
          <w:sz w:val="24"/>
          <w:szCs w:val="26"/>
        </w:rPr>
        <w:t>s</w:t>
      </w:r>
      <w:r w:rsidRPr="00B75301">
        <w:rPr>
          <w:rFonts w:ascii="Arial" w:eastAsia="Arial" w:hAnsi="Arial" w:cs="Arial"/>
          <w:sz w:val="24"/>
          <w:szCs w:val="26"/>
        </w:rPr>
        <w:t xml:space="preserve"> to Science</w:t>
      </w:r>
    </w:p>
    <w:p w14:paraId="7F53650C" w14:textId="27E6C4DA" w:rsidR="00483503" w:rsidRDefault="00483503" w:rsidP="00483503">
      <w:pPr>
        <w:numPr>
          <w:ilvl w:val="0"/>
          <w:numId w:val="2"/>
        </w:numPr>
        <w:spacing w:before="120" w:after="120"/>
        <w:ind w:left="374"/>
      </w:pPr>
      <w:r>
        <w:t xml:space="preserve">Through </w:t>
      </w:r>
      <w:r w:rsidRPr="00F273BC">
        <w:rPr>
          <w:i/>
        </w:rPr>
        <w:t>in vivo</w:t>
      </w:r>
      <w:r>
        <w:t xml:space="preserve"> inhalation toxicology studies and advanced </w:t>
      </w:r>
      <w:r w:rsidRPr="00F273BC">
        <w:rPr>
          <w:i/>
        </w:rPr>
        <w:t>in vitro</w:t>
      </w:r>
      <w:r>
        <w:t xml:space="preserve"> methods, my research has elucidated adverse outcome pathways for engineered nanomaterials.</w:t>
      </w:r>
    </w:p>
    <w:p w14:paraId="59D11D4D" w14:textId="5F30EB24" w:rsidR="00E047D6" w:rsidRDefault="006047FB" w:rsidP="00702FBE">
      <w:pPr>
        <w:pStyle w:val="citationUlliParagraph"/>
        <w:numPr>
          <w:ilvl w:val="0"/>
          <w:numId w:val="9"/>
        </w:numPr>
        <w:ind w:left="720"/>
      </w:pPr>
      <w:r>
        <w:t xml:space="preserve">Parizek NJ, Steines BR, Haque E, Altmaier R, </w:t>
      </w:r>
      <w:r w:rsidR="00483503">
        <w:t xml:space="preserve">Adamcakova-Dodd A, </w:t>
      </w:r>
      <w:r>
        <w:t xml:space="preserve">O'Shaughnessy PT, </w:t>
      </w:r>
      <w:r w:rsidRPr="00E047D6">
        <w:rPr>
          <w:b/>
        </w:rPr>
        <w:t>Thorne PS</w:t>
      </w:r>
      <w:r w:rsidR="003D4182">
        <w:rPr>
          <w:b/>
        </w:rPr>
        <w:t>*</w:t>
      </w:r>
      <w:r>
        <w:t xml:space="preserve">. </w:t>
      </w:r>
      <w:r w:rsidRPr="006047FB">
        <w:t>Acute in vivo pulmonary toxicity assessment of occupationally relevant particulate matter from a cellulose nanofiber board</w:t>
      </w:r>
      <w:r>
        <w:t xml:space="preserve">. </w:t>
      </w:r>
      <w:r w:rsidRPr="00E047D6">
        <w:rPr>
          <w:b/>
          <w:i/>
        </w:rPr>
        <w:t>NanoImpact</w:t>
      </w:r>
      <w:r>
        <w:t xml:space="preserve"> 2020 Jan; 17:100210.</w:t>
      </w:r>
      <w:r w:rsidR="00E047D6" w:rsidRPr="00E047D6">
        <w:t xml:space="preserve"> PMCID: </w:t>
      </w:r>
      <w:r w:rsidR="00E047D6" w:rsidRPr="005A614C">
        <w:t>PMC7504912</w:t>
      </w:r>
      <w:r w:rsidR="00E047D6" w:rsidRPr="00E047D6">
        <w:rPr>
          <w:color w:val="0000FF"/>
          <w:u w:val="single"/>
        </w:rPr>
        <w:t xml:space="preserve"> </w:t>
      </w:r>
    </w:p>
    <w:p w14:paraId="2049A099" w14:textId="72B99D3D" w:rsidR="00E36E07" w:rsidRPr="00E047D6" w:rsidRDefault="000A6A1A" w:rsidP="00702FBE">
      <w:pPr>
        <w:pStyle w:val="citationUlliParagraph"/>
        <w:numPr>
          <w:ilvl w:val="0"/>
          <w:numId w:val="9"/>
        </w:numPr>
        <w:ind w:left="720"/>
      </w:pPr>
      <w:r w:rsidRPr="00E047D6">
        <w:t>Areecheewakul S, Adamcakova-Dodd A, Givens BE, Steines BR, Wang Y, Meyerholz DK, Parizek NJ, Altmaier R, Haque E, O'Shaughnessy PT, Salem AK,</w:t>
      </w:r>
      <w:r w:rsidR="00483503" w:rsidRPr="00E047D6">
        <w:t xml:space="preserve"> </w:t>
      </w:r>
      <w:r w:rsidR="00483503" w:rsidRPr="00E047D6">
        <w:rPr>
          <w:b/>
        </w:rPr>
        <w:t>Thorne PS</w:t>
      </w:r>
      <w:r w:rsidR="003D4182">
        <w:rPr>
          <w:b/>
        </w:rPr>
        <w:t>*</w:t>
      </w:r>
      <w:r w:rsidR="00483503" w:rsidRPr="00E047D6">
        <w:t xml:space="preserve">. Toxicity </w:t>
      </w:r>
      <w:r w:rsidRPr="00E047D6">
        <w:t xml:space="preserve">assessment of metal </w:t>
      </w:r>
      <w:r w:rsidR="00483503" w:rsidRPr="00E047D6">
        <w:t>oxide nano</w:t>
      </w:r>
      <w:r w:rsidRPr="00E047D6">
        <w:t>materials</w:t>
      </w:r>
      <w:r w:rsidR="00483503" w:rsidRPr="00E047D6">
        <w:t xml:space="preserve"> </w:t>
      </w:r>
      <w:r w:rsidRPr="00E047D6">
        <w:t xml:space="preserve">using </w:t>
      </w:r>
      <w:r w:rsidRPr="00E047D6">
        <w:rPr>
          <w:i/>
        </w:rPr>
        <w:t>in</w:t>
      </w:r>
      <w:r w:rsidR="003109E6" w:rsidRPr="00E047D6">
        <w:rPr>
          <w:i/>
        </w:rPr>
        <w:t xml:space="preserve"> </w:t>
      </w:r>
      <w:r w:rsidRPr="00E047D6">
        <w:rPr>
          <w:i/>
        </w:rPr>
        <w:t>vitro</w:t>
      </w:r>
      <w:r w:rsidRPr="00E047D6">
        <w:t xml:space="preserve"> screening and murine acute inhalation studies. </w:t>
      </w:r>
      <w:r w:rsidR="00E36E07" w:rsidRPr="00544396">
        <w:rPr>
          <w:b/>
          <w:i/>
          <w:iCs/>
        </w:rPr>
        <w:t>NanoImpact</w:t>
      </w:r>
      <w:r w:rsidR="00E36E07" w:rsidRPr="00E047D6">
        <w:t xml:space="preserve">. 2020 Apr;18:100214. PMCID: </w:t>
      </w:r>
      <w:r w:rsidR="00E36E07" w:rsidRPr="00E52657">
        <w:t>PMC7504913</w:t>
      </w:r>
      <w:r w:rsidR="00E36E07" w:rsidRPr="00E047D6">
        <w:t xml:space="preserve"> </w:t>
      </w:r>
    </w:p>
    <w:p w14:paraId="5722C4D3" w14:textId="55D23335" w:rsidR="006047FB" w:rsidRPr="00E36E07" w:rsidRDefault="006047FB" w:rsidP="00702FBE">
      <w:pPr>
        <w:pStyle w:val="citationUlliParagraph"/>
        <w:numPr>
          <w:ilvl w:val="0"/>
          <w:numId w:val="9"/>
        </w:numPr>
        <w:ind w:left="720"/>
      </w:pPr>
      <w:r w:rsidRPr="00E36E07">
        <w:lastRenderedPageBreak/>
        <w:t xml:space="preserve">Wang Y, Adamcakova-Dodd A, Steines BR, Jing X, Salem AK, </w:t>
      </w:r>
      <w:r w:rsidRPr="00E36E07">
        <w:rPr>
          <w:b/>
        </w:rPr>
        <w:t>Thorne PS</w:t>
      </w:r>
      <w:r w:rsidR="003D4182">
        <w:rPr>
          <w:b/>
        </w:rPr>
        <w:t>*</w:t>
      </w:r>
      <w:r w:rsidRPr="00E36E07">
        <w:t xml:space="preserve">. Comparison of in vitro toxicity of aerosolized engineered nanomaterials using air-liquid interface mono-culture and co-culture models. </w:t>
      </w:r>
      <w:r w:rsidRPr="00E36E07">
        <w:rPr>
          <w:b/>
          <w:i/>
        </w:rPr>
        <w:t>NanoImpact</w:t>
      </w:r>
      <w:r w:rsidRPr="00E36E07">
        <w:t>. 2020 Apr; 18:100215</w:t>
      </w:r>
      <w:r w:rsidR="00702FBE">
        <w:t xml:space="preserve">. </w:t>
      </w:r>
      <w:r w:rsidR="00702FBE" w:rsidRPr="00702FBE">
        <w:t xml:space="preserve">PMCID: </w:t>
      </w:r>
      <w:r w:rsidR="00702FBE" w:rsidRPr="005A614C">
        <w:t>PMC7462419</w:t>
      </w:r>
    </w:p>
    <w:p w14:paraId="71C12A8C" w14:textId="7C035071" w:rsidR="006047FB" w:rsidRDefault="006047FB" w:rsidP="00702FBE">
      <w:pPr>
        <w:pStyle w:val="citationUlliParagraph"/>
        <w:numPr>
          <w:ilvl w:val="0"/>
          <w:numId w:val="9"/>
        </w:numPr>
        <w:ind w:left="720"/>
      </w:pPr>
      <w:r>
        <w:t xml:space="preserve">Adamcakova-Dodd A, Monick MM, Powers LS, Gibson-Corley KN, </w:t>
      </w:r>
      <w:r w:rsidRPr="001A0CE8">
        <w:rPr>
          <w:b/>
        </w:rPr>
        <w:t>Thorne PS</w:t>
      </w:r>
      <w:r w:rsidR="003D4182">
        <w:rPr>
          <w:b/>
        </w:rPr>
        <w:t>*</w:t>
      </w:r>
      <w:r>
        <w:t>.</w:t>
      </w:r>
      <w:r w:rsidRPr="001A0CE8">
        <w:t xml:space="preserve"> </w:t>
      </w:r>
      <w:r>
        <w:t xml:space="preserve">Effects of prenatal inhalation exposure to copper nanoparticles on murine dams and offspring. </w:t>
      </w:r>
      <w:r w:rsidRPr="000B20E8">
        <w:rPr>
          <w:b/>
          <w:i/>
        </w:rPr>
        <w:t>Part Fibre Toxicol</w:t>
      </w:r>
      <w:r>
        <w:t>. 2015 Oct 6;12:30.</w:t>
      </w:r>
      <w:r w:rsidRPr="001A0CE8">
        <w:t xml:space="preserve"> </w:t>
      </w:r>
      <w:r>
        <w:t xml:space="preserve">PMCID: </w:t>
      </w:r>
      <w:r w:rsidRPr="005A614C">
        <w:t>PMC4594905</w:t>
      </w:r>
    </w:p>
    <w:p w14:paraId="54DEA35B" w14:textId="77777777" w:rsidR="00096BCB" w:rsidRDefault="00096BCB" w:rsidP="00096BCB">
      <w:pPr>
        <w:numPr>
          <w:ilvl w:val="0"/>
          <w:numId w:val="2"/>
        </w:numPr>
        <w:spacing w:before="120" w:after="120"/>
        <w:ind w:left="374"/>
      </w:pPr>
      <w:r>
        <w:t>Work from my laboratory has shown that inhalation of lower-chlorinated polychlorinated biphenyls (PCBs) leads to rapid uptake, distribution and metabolism to OH-PCBs and PCB sulfates with associated immunotoxicity and endocrine disruption.</w:t>
      </w:r>
    </w:p>
    <w:p w14:paraId="33E515CF" w14:textId="2631F73D" w:rsidR="00D6762D" w:rsidRDefault="00D6762D" w:rsidP="00D6762D">
      <w:pPr>
        <w:numPr>
          <w:ilvl w:val="0"/>
          <w:numId w:val="11"/>
        </w:numPr>
        <w:spacing w:before="120" w:after="80"/>
        <w:rPr>
          <w:rStyle w:val="docsum-pmid"/>
        </w:rPr>
      </w:pPr>
      <w:r>
        <w:t xml:space="preserve">Wang H, Adamcakova-Dodd A, Gosse L, Flor S, Lehmler HJ, Hornbuckle KC, </w:t>
      </w:r>
      <w:r w:rsidRPr="003D4182">
        <w:rPr>
          <w:b/>
          <w:bCs/>
        </w:rPr>
        <w:t>Thorne PS</w:t>
      </w:r>
      <w:r w:rsidR="003D4182" w:rsidRPr="003D4182">
        <w:rPr>
          <w:b/>
          <w:bCs/>
        </w:rPr>
        <w:t>*</w:t>
      </w:r>
      <w:r w:rsidRPr="003D4182">
        <w:rPr>
          <w:b/>
          <w:bCs/>
        </w:rPr>
        <w:t>.</w:t>
      </w:r>
      <w:r>
        <w:t xml:space="preserve"> Comprehensive subchronic inhalation toxicity assessment of an indoor school air mixture of PCBs. </w:t>
      </w:r>
      <w:r w:rsidRPr="009F3987">
        <w:rPr>
          <w:b/>
          <w:bCs/>
        </w:rPr>
        <w:t>Environ Sci Tech</w:t>
      </w:r>
      <w:r>
        <w:t>. 2020 Dec 15:54(24):15976-15985.</w:t>
      </w:r>
      <w:r w:rsidRPr="00FB123E">
        <w:t xml:space="preserve"> </w:t>
      </w:r>
      <w:r w:rsidRPr="00C15826">
        <w:rPr>
          <w:rStyle w:val="docsum-pmid"/>
        </w:rPr>
        <w:t xml:space="preserve">PMCID: </w:t>
      </w:r>
      <w:r w:rsidRPr="00E52657">
        <w:t>PMC7879961</w:t>
      </w:r>
      <w:r>
        <w:rPr>
          <w:rStyle w:val="docsum-pmid"/>
        </w:rPr>
        <w:t>.</w:t>
      </w:r>
    </w:p>
    <w:p w14:paraId="6D71EC60" w14:textId="65E6A01F" w:rsidR="00A300EB" w:rsidRPr="00A300EB" w:rsidRDefault="00A300EB" w:rsidP="00A300EB">
      <w:pPr>
        <w:pStyle w:val="ListParagraph"/>
        <w:numPr>
          <w:ilvl w:val="0"/>
          <w:numId w:val="11"/>
        </w:numPr>
        <w:rPr>
          <w:rFonts w:ascii="Arial" w:eastAsia="Arial" w:hAnsi="Arial" w:cs="Arial"/>
          <w:sz w:val="22"/>
          <w:szCs w:val="22"/>
          <w:bdr w:val="nil"/>
        </w:rPr>
      </w:pPr>
      <w:r w:rsidRPr="00A300EB">
        <w:rPr>
          <w:rFonts w:ascii="Arial" w:eastAsia="Arial" w:hAnsi="Arial" w:cs="Arial"/>
          <w:sz w:val="22"/>
          <w:szCs w:val="22"/>
          <w:bdr w:val="nil"/>
        </w:rPr>
        <w:t xml:space="preserve">Wang H, Adamcakova-Dodd A, Lehmler H-J, Hornbuckle KC, </w:t>
      </w:r>
      <w:r w:rsidRPr="003D4182">
        <w:rPr>
          <w:rFonts w:ascii="Arial" w:eastAsia="Arial" w:hAnsi="Arial" w:cs="Arial"/>
          <w:b/>
          <w:bCs/>
          <w:sz w:val="22"/>
          <w:szCs w:val="22"/>
          <w:bdr w:val="nil"/>
        </w:rPr>
        <w:t>Thorne PS</w:t>
      </w:r>
      <w:r w:rsidR="003D4182" w:rsidRPr="003D4182">
        <w:rPr>
          <w:rFonts w:ascii="Arial" w:eastAsia="Arial" w:hAnsi="Arial" w:cs="Arial"/>
          <w:b/>
          <w:bCs/>
          <w:sz w:val="22"/>
          <w:szCs w:val="22"/>
          <w:bdr w:val="nil"/>
        </w:rPr>
        <w:t>*</w:t>
      </w:r>
      <w:r w:rsidRPr="003D4182">
        <w:rPr>
          <w:rFonts w:ascii="Arial" w:eastAsia="Arial" w:hAnsi="Arial" w:cs="Arial"/>
          <w:b/>
          <w:bCs/>
          <w:sz w:val="22"/>
          <w:szCs w:val="22"/>
          <w:bdr w:val="nil"/>
        </w:rPr>
        <w:t>.</w:t>
      </w:r>
      <w:r w:rsidRPr="00A300EB">
        <w:rPr>
          <w:rFonts w:ascii="Arial" w:eastAsia="Arial" w:hAnsi="Arial" w:cs="Arial"/>
          <w:sz w:val="22"/>
          <w:szCs w:val="22"/>
          <w:bdr w:val="nil"/>
        </w:rPr>
        <w:t xml:space="preserve"> Toxicity assessment of 91-day repeated inhalation exposure to an indoor school air mixture of PCBs. </w:t>
      </w:r>
      <w:r w:rsidRPr="009F3987">
        <w:rPr>
          <w:rFonts w:ascii="Arial" w:eastAsia="Arial" w:hAnsi="Arial" w:cs="Arial"/>
          <w:b/>
          <w:bCs/>
          <w:sz w:val="22"/>
          <w:szCs w:val="22"/>
          <w:bdr w:val="nil"/>
        </w:rPr>
        <w:t>Environ Sci Technol</w:t>
      </w:r>
      <w:r w:rsidRPr="00A300EB">
        <w:rPr>
          <w:rFonts w:ascii="Arial" w:eastAsia="Arial" w:hAnsi="Arial" w:cs="Arial"/>
          <w:sz w:val="22"/>
          <w:szCs w:val="22"/>
          <w:bdr w:val="nil"/>
        </w:rPr>
        <w:t>, Available online 7 January 2022, https://doi.org/10.1021/acs.est.1c05084.</w:t>
      </w:r>
    </w:p>
    <w:p w14:paraId="63577DC3" w14:textId="5B99B19B" w:rsidR="00D6762D" w:rsidRDefault="00096BCB" w:rsidP="00D6762D">
      <w:pPr>
        <w:numPr>
          <w:ilvl w:val="0"/>
          <w:numId w:val="11"/>
        </w:numPr>
        <w:spacing w:before="120" w:after="80"/>
      </w:pPr>
      <w:r>
        <w:t xml:space="preserve">Hu X, Adamcakova-Dodd A, </w:t>
      </w:r>
      <w:r w:rsidRPr="00D6762D">
        <w:rPr>
          <w:b/>
        </w:rPr>
        <w:t>Thorne PS</w:t>
      </w:r>
      <w:r w:rsidR="003D4182">
        <w:rPr>
          <w:b/>
        </w:rPr>
        <w:t>*</w:t>
      </w:r>
      <w:r>
        <w:t xml:space="preserve">. The fate of inhaled (14)C-labeled PCB11 and its metabolites in vivo. </w:t>
      </w:r>
      <w:r w:rsidRPr="00D6762D">
        <w:rPr>
          <w:b/>
          <w:i/>
        </w:rPr>
        <w:t>Environ Int</w:t>
      </w:r>
      <w:r>
        <w:t xml:space="preserve">. 2014 Feb;63:92-100. PMCID: </w:t>
      </w:r>
      <w:r w:rsidRPr="005A614C">
        <w:t>PMC3950335</w:t>
      </w:r>
      <w:r>
        <w:t>.</w:t>
      </w:r>
    </w:p>
    <w:p w14:paraId="78DF0207" w14:textId="323F7A2D" w:rsidR="00096BCB" w:rsidRPr="00D6762D" w:rsidRDefault="00096BCB" w:rsidP="00D6762D">
      <w:pPr>
        <w:numPr>
          <w:ilvl w:val="0"/>
          <w:numId w:val="11"/>
        </w:numPr>
        <w:spacing w:before="120" w:after="80"/>
        <w:rPr>
          <w:rStyle w:val="Hyperlink"/>
          <w:color w:val="auto"/>
          <w:u w:val="none"/>
        </w:rPr>
      </w:pPr>
      <w:r>
        <w:t xml:space="preserve">Hu X, Adamcakova-Dodd A, Lehmler HJ, Gibson-Corley KN, </w:t>
      </w:r>
      <w:r w:rsidRPr="00D6762D">
        <w:rPr>
          <w:b/>
        </w:rPr>
        <w:t>Thorne PS</w:t>
      </w:r>
      <w:r w:rsidR="003D4182">
        <w:rPr>
          <w:b/>
        </w:rPr>
        <w:t>*</w:t>
      </w:r>
      <w:r>
        <w:t>.</w:t>
      </w:r>
      <w:r w:rsidRPr="008659A5">
        <w:t xml:space="preserve"> </w:t>
      </w:r>
      <w:r>
        <w:t xml:space="preserve">Toxicity evaluation of exposure to an atmospheric mixture of polychlorinated biphenyls by nose-only and whole-body inhalation regimens. </w:t>
      </w:r>
      <w:r w:rsidRPr="00D6762D">
        <w:rPr>
          <w:b/>
          <w:i/>
        </w:rPr>
        <w:t>Environ Sci Technol</w:t>
      </w:r>
      <w:r>
        <w:t xml:space="preserve">. 2015 Sep 8. [Epub ahead of print]. </w:t>
      </w:r>
      <w:r w:rsidRPr="005A614C">
        <w:t>PMC4711378</w:t>
      </w:r>
    </w:p>
    <w:p w14:paraId="5AC9DC06" w14:textId="2629F337" w:rsidR="00E411C3" w:rsidRDefault="006047FB" w:rsidP="00E411C3">
      <w:pPr>
        <w:numPr>
          <w:ilvl w:val="0"/>
          <w:numId w:val="2"/>
        </w:numPr>
        <w:spacing w:before="120" w:after="120"/>
        <w:ind w:left="374"/>
      </w:pPr>
      <w:r>
        <w:t xml:space="preserve">The </w:t>
      </w:r>
      <w:r w:rsidR="00E411C3">
        <w:t xml:space="preserve">AESOP Study, a longitudinal cohort study of exposures to PCBs </w:t>
      </w:r>
      <w:r w:rsidR="00702FBE">
        <w:t xml:space="preserve">and lead (Pb) </w:t>
      </w:r>
      <w:r w:rsidR="00E411C3">
        <w:t xml:space="preserve">among adolescent children and their mothers, has shown that much of the exposure to PCBs comes via inhalation and that indoor exposures in schools are particularly </w:t>
      </w:r>
      <w:r w:rsidR="00490CC2">
        <w:t>high</w:t>
      </w:r>
      <w:r w:rsidR="00E411C3">
        <w:t>. There is also substantial exposure to non-legacy, non-Aroclor PCBs.</w:t>
      </w:r>
      <w:r w:rsidR="009B450D">
        <w:t xml:space="preserve"> We have </w:t>
      </w:r>
      <w:r w:rsidR="001C660E">
        <w:t xml:space="preserve">also </w:t>
      </w:r>
      <w:r w:rsidR="009B450D">
        <w:t>documented longitud</w:t>
      </w:r>
      <w:r w:rsidR="001C660E">
        <w:t>inal</w:t>
      </w:r>
      <w:r w:rsidR="009B450D">
        <w:t xml:space="preserve"> Pb profiles in </w:t>
      </w:r>
      <w:r w:rsidR="00B95281">
        <w:t xml:space="preserve">this </w:t>
      </w:r>
      <w:r w:rsidR="009B450D">
        <w:t>EJ community</w:t>
      </w:r>
      <w:r w:rsidR="00490CC2">
        <w:t xml:space="preserve"> </w:t>
      </w:r>
      <w:r w:rsidR="00B95281">
        <w:t>(</w:t>
      </w:r>
      <w:r w:rsidR="00490CC2">
        <w:t>East Chicago</w:t>
      </w:r>
      <w:r w:rsidR="00B95281">
        <w:t>, IN)</w:t>
      </w:r>
    </w:p>
    <w:p w14:paraId="2DC602F4" w14:textId="7D146717" w:rsidR="00156903" w:rsidRPr="003113C1" w:rsidRDefault="00156903" w:rsidP="003113C1">
      <w:pPr>
        <w:pStyle w:val="ListParagraph"/>
        <w:numPr>
          <w:ilvl w:val="1"/>
          <w:numId w:val="6"/>
        </w:numPr>
        <w:tabs>
          <w:tab w:val="clear" w:pos="1440"/>
          <w:tab w:val="num" w:pos="720"/>
          <w:tab w:val="left" w:pos="1080"/>
        </w:tabs>
        <w:ind w:left="720"/>
        <w:rPr>
          <w:rFonts w:ascii="Arial" w:eastAsia="Arial" w:hAnsi="Arial" w:cs="Arial"/>
          <w:sz w:val="22"/>
          <w:szCs w:val="22"/>
          <w:bdr w:val="nil"/>
        </w:rPr>
      </w:pPr>
      <w:r w:rsidRPr="003113C1">
        <w:rPr>
          <w:rFonts w:ascii="Arial" w:hAnsi="Arial" w:cs="Arial"/>
          <w:sz w:val="22"/>
          <w:szCs w:val="22"/>
        </w:rPr>
        <w:t xml:space="preserve">Haque E, </w:t>
      </w:r>
      <w:r w:rsidRPr="003113C1">
        <w:rPr>
          <w:rFonts w:ascii="Arial" w:hAnsi="Arial" w:cs="Arial"/>
          <w:b/>
          <w:bCs/>
          <w:sz w:val="22"/>
          <w:szCs w:val="22"/>
        </w:rPr>
        <w:t>Thorne PS</w:t>
      </w:r>
      <w:r w:rsidR="003113C1">
        <w:rPr>
          <w:rFonts w:ascii="Arial" w:hAnsi="Arial" w:cs="Arial"/>
          <w:b/>
          <w:bCs/>
          <w:sz w:val="22"/>
          <w:szCs w:val="22"/>
        </w:rPr>
        <w:t>*</w:t>
      </w:r>
      <w:r w:rsidRPr="003113C1">
        <w:rPr>
          <w:rFonts w:ascii="Arial" w:hAnsi="Arial" w:cs="Arial"/>
          <w:sz w:val="22"/>
          <w:szCs w:val="22"/>
        </w:rPr>
        <w:t xml:space="preserve">, Nghiem A, Yip C, Bostick B. Lead (Pb) concentrations and speciation in residential soils from an urban community impacted by multiple legacy sources., </w:t>
      </w:r>
      <w:r w:rsidR="003113C1" w:rsidRPr="003113C1">
        <w:rPr>
          <w:rFonts w:ascii="Arial" w:eastAsia="Arial" w:hAnsi="Arial" w:cs="Arial"/>
          <w:sz w:val="22"/>
          <w:szCs w:val="22"/>
          <w:bdr w:val="nil"/>
        </w:rPr>
        <w:t>J Hazard</w:t>
      </w:r>
      <w:r w:rsidR="003113C1">
        <w:rPr>
          <w:rFonts w:ascii="Arial" w:eastAsia="Arial" w:hAnsi="Arial" w:cs="Arial"/>
          <w:sz w:val="22"/>
          <w:szCs w:val="22"/>
          <w:bdr w:val="nil"/>
        </w:rPr>
        <w:t>.</w:t>
      </w:r>
      <w:r w:rsidR="003113C1" w:rsidRPr="003113C1">
        <w:rPr>
          <w:rFonts w:ascii="Arial" w:eastAsia="Arial" w:hAnsi="Arial" w:cs="Arial"/>
          <w:sz w:val="22"/>
          <w:szCs w:val="22"/>
          <w:bdr w:val="nil"/>
        </w:rPr>
        <w:t xml:space="preserve"> Mater. 2021 Aug 15;</w:t>
      </w:r>
      <w:r w:rsidR="003113C1">
        <w:rPr>
          <w:rFonts w:ascii="Arial" w:eastAsia="Arial" w:hAnsi="Arial" w:cs="Arial"/>
          <w:sz w:val="22"/>
          <w:szCs w:val="22"/>
          <w:bdr w:val="nil"/>
        </w:rPr>
        <w:t xml:space="preserve"> </w:t>
      </w:r>
      <w:r w:rsidR="003113C1" w:rsidRPr="003113C1">
        <w:rPr>
          <w:rFonts w:ascii="Arial" w:eastAsia="Arial" w:hAnsi="Arial" w:cs="Arial"/>
          <w:sz w:val="22"/>
          <w:szCs w:val="22"/>
          <w:bdr w:val="nil"/>
        </w:rPr>
        <w:t>416:125886. doi: 10.1016/j.jhazmat.2021.125886. Epub 2021 Apr 15. PMID: 34492824</w:t>
      </w:r>
      <w:r w:rsidR="003113C1">
        <w:rPr>
          <w:rFonts w:ascii="Arial" w:eastAsia="Arial" w:hAnsi="Arial" w:cs="Arial"/>
          <w:sz w:val="22"/>
          <w:szCs w:val="22"/>
          <w:bdr w:val="nil"/>
        </w:rPr>
        <w:t>.</w:t>
      </w:r>
    </w:p>
    <w:p w14:paraId="7A112509" w14:textId="7FE6BAA9" w:rsidR="00AF4AFB" w:rsidRPr="003113C1" w:rsidRDefault="00AF4AFB" w:rsidP="00AF4AFB">
      <w:pPr>
        <w:pStyle w:val="citationUlliParagraph"/>
        <w:numPr>
          <w:ilvl w:val="1"/>
          <w:numId w:val="6"/>
        </w:numPr>
        <w:spacing w:after="120"/>
        <w:ind w:left="749"/>
      </w:pPr>
      <w:r w:rsidRPr="00E411C3">
        <w:t>Marek RF,</w:t>
      </w:r>
      <w:r>
        <w:t xml:space="preserve"> </w:t>
      </w:r>
      <w:r w:rsidRPr="00E411C3">
        <w:rPr>
          <w:b/>
          <w:bCs/>
        </w:rPr>
        <w:t>Thorne PS</w:t>
      </w:r>
      <w:r w:rsidR="006E0339">
        <w:rPr>
          <w:b/>
          <w:bCs/>
        </w:rPr>
        <w:t>*</w:t>
      </w:r>
      <w:r w:rsidRPr="00E411C3">
        <w:t xml:space="preserve">, Herkert NJ, Awad AM, Hornbuckle KC. </w:t>
      </w:r>
      <w:hyperlink r:id="rId8" w:history="1">
        <w:r w:rsidRPr="00E411C3">
          <w:rPr>
            <w:rStyle w:val="Hyperlink"/>
            <w:color w:val="auto"/>
            <w:u w:val="none"/>
          </w:rPr>
          <w:t>Airborne PCBs and OH-PCBs Inside and Outside Urban and Rural U.S. Schools.</w:t>
        </w:r>
      </w:hyperlink>
      <w:r w:rsidRPr="00E411C3">
        <w:t xml:space="preserve"> </w:t>
      </w:r>
      <w:r w:rsidRPr="00E411C3">
        <w:rPr>
          <w:rStyle w:val="jrnl"/>
          <w:b/>
          <w:i/>
        </w:rPr>
        <w:t>Environ Sci Techn</w:t>
      </w:r>
      <w:r w:rsidRPr="00E411C3">
        <w:rPr>
          <w:rStyle w:val="jrnl"/>
        </w:rPr>
        <w:t>ol</w:t>
      </w:r>
      <w:r w:rsidRPr="00E411C3">
        <w:t xml:space="preserve">. 2017 Jul 18;51(14):7853-7860. </w:t>
      </w:r>
      <w:r w:rsidRPr="00E411C3">
        <w:rPr>
          <w:rFonts w:eastAsia="Times New Roman"/>
          <w:bdr w:val="none" w:sz="0" w:space="0" w:color="auto"/>
        </w:rPr>
        <w:t xml:space="preserve">PMCID: </w:t>
      </w:r>
      <w:r w:rsidRPr="003113C1">
        <w:rPr>
          <w:rFonts w:eastAsia="Times New Roman"/>
          <w:bdr w:val="none" w:sz="0" w:space="0" w:color="auto"/>
        </w:rPr>
        <w:t>PMC5777175.</w:t>
      </w:r>
    </w:p>
    <w:p w14:paraId="6D760D7C" w14:textId="4A0624A2" w:rsidR="00E411C3" w:rsidRPr="003113C1" w:rsidRDefault="00E411C3" w:rsidP="00E411C3">
      <w:pPr>
        <w:pStyle w:val="citationUlliParagraph"/>
        <w:numPr>
          <w:ilvl w:val="1"/>
          <w:numId w:val="6"/>
        </w:numPr>
        <w:spacing w:after="120"/>
        <w:ind w:left="749"/>
      </w:pPr>
      <w:r w:rsidRPr="003113C1">
        <w:t xml:space="preserve">Ampleman MD, Martinez A, DeWall J, Rawn DF, Hornbuckle KC, </w:t>
      </w:r>
      <w:r w:rsidRPr="003113C1">
        <w:rPr>
          <w:b/>
        </w:rPr>
        <w:t>Thorne PS</w:t>
      </w:r>
      <w:r w:rsidR="006E0339">
        <w:rPr>
          <w:b/>
        </w:rPr>
        <w:t>*</w:t>
      </w:r>
      <w:r w:rsidRPr="003113C1">
        <w:t xml:space="preserve">. Inhalation and dietary exposure to PCBs in urban and rural cohorts via congener-specific measurements. </w:t>
      </w:r>
      <w:r w:rsidRPr="003113C1">
        <w:rPr>
          <w:b/>
          <w:i/>
        </w:rPr>
        <w:t>Environ Sci Technol</w:t>
      </w:r>
      <w:r w:rsidRPr="003113C1">
        <w:t xml:space="preserve">. 2015 Jan 20;49(2):1156-64. PMCID: PMC4303332. </w:t>
      </w:r>
    </w:p>
    <w:p w14:paraId="64F04DCC" w14:textId="68B842C7" w:rsidR="00E411C3" w:rsidRPr="00AF4AFB" w:rsidRDefault="00E411C3" w:rsidP="00E411C3">
      <w:pPr>
        <w:pStyle w:val="citationUlliParagraph"/>
        <w:numPr>
          <w:ilvl w:val="1"/>
          <w:numId w:val="6"/>
        </w:numPr>
        <w:spacing w:after="120"/>
        <w:ind w:left="749"/>
        <w:rPr>
          <w:rStyle w:val="Hyperlink"/>
          <w:color w:val="auto"/>
          <w:u w:val="none"/>
        </w:rPr>
      </w:pPr>
      <w:r w:rsidRPr="0048394F">
        <w:t xml:space="preserve">Koh WX, Hornbuckle KC, </w:t>
      </w:r>
      <w:r w:rsidRPr="0048394F">
        <w:rPr>
          <w:b/>
        </w:rPr>
        <w:t>Thorne PS</w:t>
      </w:r>
      <w:r w:rsidR="006E0339">
        <w:rPr>
          <w:b/>
        </w:rPr>
        <w:t>*</w:t>
      </w:r>
      <w:r w:rsidRPr="0048394F">
        <w:t xml:space="preserve">. Human Serum from Urban and Rural Adolescents and Their Mothers Shows Exposure to Polychlorinated Biphenyls Not Found in Commercial Mixtures. Environ Sci Technol. </w:t>
      </w:r>
      <w:r w:rsidRPr="00E411C3">
        <w:rPr>
          <w:rFonts w:eastAsia="Times New Roman"/>
          <w:b/>
          <w:i/>
          <w:bdr w:val="none" w:sz="0" w:space="0" w:color="auto"/>
        </w:rPr>
        <w:t>Environ Sci Technol</w:t>
      </w:r>
      <w:r w:rsidRPr="0048394F">
        <w:rPr>
          <w:rFonts w:eastAsia="Times New Roman"/>
          <w:bdr w:val="none" w:sz="0" w:space="0" w:color="auto"/>
        </w:rPr>
        <w:t xml:space="preserve">. 2015 July 7; 49(13): 8105–8112. Published online 2015 June 18. PMCID: </w:t>
      </w:r>
      <w:r w:rsidRPr="003113C1">
        <w:rPr>
          <w:rFonts w:eastAsia="Times New Roman"/>
          <w:bdr w:val="none" w:sz="0" w:space="0" w:color="auto"/>
        </w:rPr>
        <w:t>PMC4774248</w:t>
      </w:r>
    </w:p>
    <w:p w14:paraId="6285EB24" w14:textId="77777777" w:rsidR="00350B38" w:rsidRDefault="00B92718" w:rsidP="00F273BC">
      <w:pPr>
        <w:numPr>
          <w:ilvl w:val="0"/>
          <w:numId w:val="2"/>
        </w:numPr>
        <w:spacing w:before="120" w:after="120"/>
        <w:ind w:left="374"/>
      </w:pPr>
      <w:r>
        <w:t xml:space="preserve">My research has helped elucidate the role of inhaled endotoxin in lung inflammation, asthma and environmental and occupational lung </w:t>
      </w:r>
      <w:r w:rsidR="001A0CE8">
        <w:t xml:space="preserve">and cardiac </w:t>
      </w:r>
      <w:r>
        <w:t>disease</w:t>
      </w:r>
      <w:r w:rsidR="001A0CE8">
        <w:t>s</w:t>
      </w:r>
      <w:r>
        <w:t>.</w:t>
      </w:r>
    </w:p>
    <w:p w14:paraId="469AAEB3" w14:textId="248CC533" w:rsidR="00350B38" w:rsidRDefault="00B92718">
      <w:pPr>
        <w:pStyle w:val="citationUlliParagraph"/>
        <w:numPr>
          <w:ilvl w:val="1"/>
          <w:numId w:val="2"/>
        </w:numPr>
        <w:ind w:left="750"/>
      </w:pPr>
      <w:bookmarkStart w:id="0" w:name="_Hlk71548337"/>
      <w:r>
        <w:t xml:space="preserve">Trompette A, Divanovic S, Visintin A, Blanchard C, Hegde RS, Madan R, </w:t>
      </w:r>
      <w:r w:rsidRPr="00987530">
        <w:rPr>
          <w:b/>
        </w:rPr>
        <w:t>Thorne PS</w:t>
      </w:r>
      <w:r>
        <w:t xml:space="preserve">, Wills-Karp M, Gioannini TL, Weiss JP, Karp CL. Allergenicity resulting from functional mimicry of a Toll-like receptor complex protein. </w:t>
      </w:r>
      <w:r w:rsidRPr="00695633">
        <w:rPr>
          <w:b/>
          <w:i/>
        </w:rPr>
        <w:t>Nature</w:t>
      </w:r>
      <w:r>
        <w:t xml:space="preserve">. 2009 Jan 29;457(7229):585-8. PMCID: </w:t>
      </w:r>
      <w:r w:rsidRPr="00733434">
        <w:t>PMC2843411</w:t>
      </w:r>
      <w:r>
        <w:t xml:space="preserve">. </w:t>
      </w:r>
    </w:p>
    <w:bookmarkEnd w:id="0"/>
    <w:p w14:paraId="372CF513" w14:textId="12E2CCBE" w:rsidR="009A2531" w:rsidRDefault="00B92718" w:rsidP="009A2531">
      <w:pPr>
        <w:pStyle w:val="citationUlliParagraph"/>
        <w:numPr>
          <w:ilvl w:val="1"/>
          <w:numId w:val="2"/>
        </w:numPr>
        <w:ind w:left="750"/>
      </w:pPr>
      <w:r w:rsidRPr="00987530">
        <w:rPr>
          <w:b/>
        </w:rPr>
        <w:t>Thorne PS</w:t>
      </w:r>
      <w:r w:rsidR="006E0339">
        <w:rPr>
          <w:b/>
        </w:rPr>
        <w:t>*</w:t>
      </w:r>
      <w:r>
        <w:t xml:space="preserve">, Cohn RD, Mav D, Arbes SJ, Zeldin DC. Predictors of endotoxin levels in U.S. housing. </w:t>
      </w:r>
      <w:r w:rsidRPr="00695633">
        <w:rPr>
          <w:b/>
          <w:i/>
        </w:rPr>
        <w:t>Environ Health Perspect</w:t>
      </w:r>
      <w:r>
        <w:t xml:space="preserve">. 2009 May;117(5):763-71. PMCID: </w:t>
      </w:r>
      <w:r w:rsidRPr="00733434">
        <w:t>PMC2685839</w:t>
      </w:r>
      <w:r w:rsidR="009A2531">
        <w:t>.</w:t>
      </w:r>
    </w:p>
    <w:p w14:paraId="52C2B0E5" w14:textId="10E60A2C" w:rsidR="000B20E8" w:rsidRPr="000B20E8" w:rsidRDefault="009A2531" w:rsidP="000B20E8">
      <w:pPr>
        <w:pStyle w:val="citationUlliParagraph"/>
        <w:numPr>
          <w:ilvl w:val="1"/>
          <w:numId w:val="2"/>
        </w:numPr>
        <w:ind w:left="750"/>
      </w:pPr>
      <w:r w:rsidRPr="00DA7DDD">
        <w:t xml:space="preserve">Salo PM, Wilkerson J, Rose KM, Cohn RD, Calatroni A, Mitchell HE, Sever ML, Gergen PJ, </w:t>
      </w:r>
      <w:r w:rsidRPr="009A2531">
        <w:rPr>
          <w:b/>
        </w:rPr>
        <w:t>Thorne PS</w:t>
      </w:r>
      <w:r w:rsidRPr="00DA7DDD">
        <w:t xml:space="preserve">, Zeldin DC. Bedroom allergen exposures in US households. J Allergy Clin Immunol. </w:t>
      </w:r>
      <w:r w:rsidRPr="009A2531">
        <w:rPr>
          <w:b/>
          <w:i/>
        </w:rPr>
        <w:t>J Allergy Clin Immunol</w:t>
      </w:r>
      <w:r w:rsidRPr="009A2531">
        <w:t xml:space="preserve">. 2018 May;141(5):1870-1879.e14. </w:t>
      </w:r>
      <w:r w:rsidRPr="009A2531">
        <w:rPr>
          <w:rFonts w:eastAsia="Times New Roman"/>
          <w:bdr w:val="none" w:sz="0" w:space="0" w:color="auto"/>
        </w:rPr>
        <w:t xml:space="preserve">PMCID: </w:t>
      </w:r>
      <w:r w:rsidRPr="00733434">
        <w:rPr>
          <w:rFonts w:eastAsia="Times New Roman"/>
          <w:bdr w:val="none" w:sz="0" w:space="0" w:color="auto"/>
        </w:rPr>
        <w:t>PMC5938098</w:t>
      </w:r>
      <w:r w:rsidRPr="009A2531">
        <w:rPr>
          <w:rFonts w:eastAsia="Times New Roman"/>
          <w:color w:val="000000" w:themeColor="text1"/>
          <w:bdr w:val="none" w:sz="0" w:space="0" w:color="auto"/>
        </w:rPr>
        <w:t>.</w:t>
      </w:r>
    </w:p>
    <w:p w14:paraId="1209169D" w14:textId="5EA45524" w:rsidR="00350B38" w:rsidRPr="000B20E8" w:rsidRDefault="000B20E8" w:rsidP="000B20E8">
      <w:pPr>
        <w:pStyle w:val="citationUlliParagraph"/>
        <w:numPr>
          <w:ilvl w:val="1"/>
          <w:numId w:val="2"/>
        </w:numPr>
        <w:ind w:left="750"/>
      </w:pPr>
      <w:r w:rsidRPr="000B20E8">
        <w:t xml:space="preserve">Mendy A, Wilkerson J, Salo PM, Cohn RD, Zeldin DC, </w:t>
      </w:r>
      <w:r w:rsidRPr="000B20E8">
        <w:rPr>
          <w:b/>
          <w:bCs/>
        </w:rPr>
        <w:t>Thorne PS</w:t>
      </w:r>
      <w:r w:rsidR="006E0339">
        <w:rPr>
          <w:b/>
          <w:bCs/>
        </w:rPr>
        <w:t>*</w:t>
      </w:r>
      <w:r w:rsidRPr="000B20E8">
        <w:t xml:space="preserve">. </w:t>
      </w:r>
      <w:hyperlink r:id="rId9" w:history="1">
        <w:r w:rsidRPr="000B20E8">
          <w:rPr>
            <w:rStyle w:val="Hyperlink"/>
            <w:color w:val="auto"/>
            <w:u w:val="none"/>
          </w:rPr>
          <w:t>Exposure and Sensitization to Pets Modify Endotoxin Association with Asthma and Wheeze.</w:t>
        </w:r>
      </w:hyperlink>
      <w:r w:rsidRPr="000B20E8">
        <w:t xml:space="preserve"> </w:t>
      </w:r>
      <w:r w:rsidRPr="000B20E8">
        <w:rPr>
          <w:rStyle w:val="jrnl"/>
          <w:b/>
          <w:i/>
        </w:rPr>
        <w:t>J Allergy Clin Immunol</w:t>
      </w:r>
      <w:r w:rsidRPr="000B20E8">
        <w:rPr>
          <w:rStyle w:val="jrnl"/>
        </w:rPr>
        <w:t xml:space="preserve"> </w:t>
      </w:r>
      <w:r w:rsidRPr="00AF4AFB">
        <w:rPr>
          <w:rStyle w:val="jrnl"/>
          <w:b/>
          <w:i/>
        </w:rPr>
        <w:t>Pract</w:t>
      </w:r>
      <w:r w:rsidRPr="00AF4AFB">
        <w:rPr>
          <w:b/>
        </w:rPr>
        <w:t>.</w:t>
      </w:r>
      <w:r w:rsidRPr="000B20E8">
        <w:t xml:space="preserve"> 2018 Apr 21. pii: S2213-2198(18)30280-0. </w:t>
      </w:r>
      <w:r w:rsidRPr="000B20E8">
        <w:rPr>
          <w:rFonts w:eastAsia="Times New Roman"/>
          <w:bdr w:val="none" w:sz="0" w:space="0" w:color="auto"/>
        </w:rPr>
        <w:t xml:space="preserve">PMCID: </w:t>
      </w:r>
      <w:r w:rsidRPr="00733434">
        <w:rPr>
          <w:rFonts w:eastAsia="Times New Roman"/>
          <w:bdr w:val="none" w:sz="0" w:space="0" w:color="auto"/>
        </w:rPr>
        <w:t>PMC5899028</w:t>
      </w:r>
      <w:r w:rsidRPr="000B20E8">
        <w:rPr>
          <w:rFonts w:eastAsia="Times New Roman"/>
          <w:color w:val="575757"/>
          <w:sz w:val="17"/>
          <w:szCs w:val="17"/>
          <w:bdr w:val="none" w:sz="0" w:space="0" w:color="auto"/>
        </w:rPr>
        <w:t>.</w:t>
      </w:r>
    </w:p>
    <w:p w14:paraId="01B53B36" w14:textId="77777777" w:rsidR="00350B38" w:rsidRDefault="00B92718" w:rsidP="00F273BC">
      <w:pPr>
        <w:numPr>
          <w:ilvl w:val="0"/>
          <w:numId w:val="2"/>
        </w:numPr>
        <w:spacing w:before="120" w:after="120"/>
        <w:ind w:left="374"/>
      </w:pPr>
      <w:r>
        <w:lastRenderedPageBreak/>
        <w:t>My group has developed and optimized methodology for quantitative exposure assessment for endotoxin, glucans and allergens.</w:t>
      </w:r>
    </w:p>
    <w:p w14:paraId="20AD469C" w14:textId="34BAB5CD" w:rsidR="00350B38" w:rsidRDefault="00B92718">
      <w:pPr>
        <w:pStyle w:val="citationUlliParagraph"/>
        <w:numPr>
          <w:ilvl w:val="1"/>
          <w:numId w:val="3"/>
        </w:numPr>
        <w:ind w:left="750"/>
      </w:pPr>
      <w:r w:rsidRPr="00987530">
        <w:rPr>
          <w:b/>
        </w:rPr>
        <w:t>Thorne PS</w:t>
      </w:r>
      <w:r w:rsidR="00733434">
        <w:rPr>
          <w:b/>
        </w:rPr>
        <w:t>*</w:t>
      </w:r>
      <w:r>
        <w:t xml:space="preserve">, Perry SS, Saito R, O'Shaughnessy PT, Mehaffy J, Metwali N, Keefe T, Donham KJ, Reynolds SJ. Evaluation of the Limulus amebocyte lysate and recombinant factor C assays for assessment of airborne endotoxin. </w:t>
      </w:r>
      <w:r w:rsidRPr="009A2531">
        <w:rPr>
          <w:b/>
          <w:i/>
        </w:rPr>
        <w:t>Appl Environ Microbiol</w:t>
      </w:r>
      <w:r>
        <w:t xml:space="preserve">. 2010 Aug;76(15):4988-95. PMCID: </w:t>
      </w:r>
      <w:r w:rsidRPr="00733434">
        <w:t>PMC2916455</w:t>
      </w:r>
      <w:r>
        <w:t xml:space="preserve">. </w:t>
      </w:r>
    </w:p>
    <w:p w14:paraId="327A86CC" w14:textId="38035611" w:rsidR="00252DF2" w:rsidRDefault="00B92718" w:rsidP="00252DF2">
      <w:pPr>
        <w:pStyle w:val="citationUlliParagraph"/>
        <w:numPr>
          <w:ilvl w:val="1"/>
          <w:numId w:val="3"/>
        </w:numPr>
        <w:tabs>
          <w:tab w:val="clear" w:pos="1440"/>
          <w:tab w:val="num" w:pos="720"/>
        </w:tabs>
        <w:ind w:left="720"/>
      </w:pPr>
      <w:r>
        <w:t xml:space="preserve">Kilburg-Basnyat B, Metwali N, </w:t>
      </w:r>
      <w:r w:rsidRPr="00252DF2">
        <w:rPr>
          <w:b/>
        </w:rPr>
        <w:t>Thorne PS</w:t>
      </w:r>
      <w:r w:rsidR="00733434">
        <w:rPr>
          <w:b/>
        </w:rPr>
        <w:t>*</w:t>
      </w:r>
      <w:r>
        <w:t xml:space="preserve">. Effect of deployment time on endotoxin and allergen exposure assessment using electrostatic dust collectors. </w:t>
      </w:r>
      <w:r w:rsidRPr="009A2531">
        <w:rPr>
          <w:b/>
          <w:i/>
        </w:rPr>
        <w:t>Ann Occup Hyg</w:t>
      </w:r>
      <w:r>
        <w:t xml:space="preserve">. 2015 Jan;59(1):104-15. PMCID: </w:t>
      </w:r>
      <w:r w:rsidRPr="00733434">
        <w:t>PMC4303768</w:t>
      </w:r>
      <w:r>
        <w:t xml:space="preserve">. </w:t>
      </w:r>
    </w:p>
    <w:p w14:paraId="21920C77" w14:textId="18FA583A" w:rsidR="00946B0F" w:rsidRPr="00946B0F" w:rsidRDefault="00252DF2" w:rsidP="004E7113">
      <w:pPr>
        <w:pStyle w:val="citationUlliParagraph"/>
        <w:numPr>
          <w:ilvl w:val="1"/>
          <w:numId w:val="3"/>
        </w:numPr>
        <w:tabs>
          <w:tab w:val="clear" w:pos="1440"/>
          <w:tab w:val="num" w:pos="720"/>
        </w:tabs>
        <w:ind w:left="720"/>
      </w:pPr>
      <w:r>
        <w:t xml:space="preserve">Hoppe Parr KA, Hađina S, Kilburg-Basnyat B, Wang Y, Chavez D, </w:t>
      </w:r>
      <w:r w:rsidRPr="00946B0F">
        <w:rPr>
          <w:b/>
        </w:rPr>
        <w:t>Thorne PS</w:t>
      </w:r>
      <w:r>
        <w:t xml:space="preserve">, Weiss JP. Modification of sample processing for the Limulus amebocyte lysate assay enhances detection of inflammogenic endotoxin in intact bacteria and organic dust. </w:t>
      </w:r>
      <w:r w:rsidRPr="009A2531">
        <w:rPr>
          <w:b/>
          <w:i/>
        </w:rPr>
        <w:t>Innate Immun</w:t>
      </w:r>
      <w:r>
        <w:t xml:space="preserve">. 2017 Apr;23(3):307-318. Epub 2017 Jan 1. </w:t>
      </w:r>
      <w:r w:rsidR="00946B0F">
        <w:t>PMCID:</w:t>
      </w:r>
      <w:r w:rsidR="00733434">
        <w:t xml:space="preserve"> </w:t>
      </w:r>
      <w:r w:rsidR="00946B0F" w:rsidRPr="00733434">
        <w:t>PMC5814115</w:t>
      </w:r>
    </w:p>
    <w:p w14:paraId="7AF4E839" w14:textId="571774AC" w:rsidR="00137661" w:rsidRDefault="00137661" w:rsidP="004E7113">
      <w:pPr>
        <w:pStyle w:val="citationUlliParagraph"/>
        <w:numPr>
          <w:ilvl w:val="1"/>
          <w:numId w:val="3"/>
        </w:numPr>
        <w:tabs>
          <w:tab w:val="clear" w:pos="1440"/>
          <w:tab w:val="num" w:pos="720"/>
        </w:tabs>
        <w:ind w:left="720"/>
      </w:pPr>
      <w:r>
        <w:t xml:space="preserve">Kilburg-Basnyat B, Peters TM, Perry SS, </w:t>
      </w:r>
      <w:r w:rsidRPr="00946B0F">
        <w:rPr>
          <w:b/>
        </w:rPr>
        <w:t>Thorne PS</w:t>
      </w:r>
      <w:r w:rsidR="00733434">
        <w:rPr>
          <w:b/>
        </w:rPr>
        <w:t>*</w:t>
      </w:r>
      <w:r>
        <w:t xml:space="preserve">. Electrostatic dust collectors compared to inhalable samplers for measuring endotoxin concentrations in farm homes. </w:t>
      </w:r>
      <w:r w:rsidRPr="009A2531">
        <w:rPr>
          <w:b/>
          <w:i/>
        </w:rPr>
        <w:t>Indoor Air</w:t>
      </w:r>
      <w:r>
        <w:t xml:space="preserve">. 2015 Aug 22. [Epub ahead of print] </w:t>
      </w:r>
      <w:r w:rsidR="00946B0F">
        <w:t>PMCID:</w:t>
      </w:r>
      <w:r w:rsidR="00733434">
        <w:t xml:space="preserve"> </w:t>
      </w:r>
      <w:r w:rsidRPr="00733434">
        <w:t>PMC</w:t>
      </w:r>
      <w:r w:rsidR="0054701E" w:rsidRPr="00733434">
        <w:t>4850132</w:t>
      </w:r>
    </w:p>
    <w:p w14:paraId="0855C074" w14:textId="77777777" w:rsidR="00E10405" w:rsidRDefault="00E10405" w:rsidP="00766220">
      <w:pPr>
        <w:pStyle w:val="citationUlliParagraph"/>
        <w:spacing w:after="120"/>
      </w:pPr>
    </w:p>
    <w:p w14:paraId="55098C8D" w14:textId="078A14C3" w:rsidR="000B4CC2" w:rsidRPr="009F0EEA" w:rsidRDefault="000B4CC2" w:rsidP="00766220">
      <w:pPr>
        <w:pStyle w:val="citationUlliParagraph"/>
        <w:spacing w:after="120"/>
        <w:rPr>
          <w:rStyle w:val="Hyperlink"/>
          <w:b/>
          <w:bCs/>
          <w:color w:val="auto"/>
        </w:rPr>
      </w:pPr>
      <w:r>
        <w:t xml:space="preserve">A full list of my published work </w:t>
      </w:r>
      <w:r w:rsidR="00395020">
        <w:t xml:space="preserve">and </w:t>
      </w:r>
      <w:r w:rsidR="00396767">
        <w:t xml:space="preserve">publications </w:t>
      </w:r>
      <w:r w:rsidR="00B074D7">
        <w:t xml:space="preserve">emanating from </w:t>
      </w:r>
      <w:r w:rsidR="00396767">
        <w:t xml:space="preserve">my grants as PI are </w:t>
      </w:r>
      <w:r>
        <w:t>available at:</w:t>
      </w:r>
    </w:p>
    <w:p w14:paraId="61C30375" w14:textId="1168966B" w:rsidR="00C179AE" w:rsidRDefault="00C179AE" w:rsidP="00766220">
      <w:pPr>
        <w:pStyle w:val="citationUlliParagraph"/>
        <w:spacing w:after="120"/>
      </w:pPr>
      <w:r w:rsidRPr="00C179AE">
        <w:rPr>
          <w:rStyle w:val="Hyperlink"/>
        </w:rPr>
        <w:t>http://www.ncbi.nlm.nih.gov/sites/myncbi/1fET8FSy-d9Qa/bibliography/45504163/public/</w:t>
      </w:r>
    </w:p>
    <w:sectPr w:rsidR="00C179A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87375"/>
    <w:multiLevelType w:val="hybridMultilevel"/>
    <w:tmpl w:val="207EF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54BB"/>
    <w:multiLevelType w:val="hybridMultilevel"/>
    <w:tmpl w:val="96F25A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C556B7"/>
    <w:multiLevelType w:val="hybridMultilevel"/>
    <w:tmpl w:val="CC521DDC"/>
    <w:lvl w:ilvl="0" w:tplc="1C68292A">
      <w:start w:val="1"/>
      <w:numFmt w:val="decimal"/>
      <w:lvlText w:val="%1."/>
      <w:lvlJc w:val="left"/>
      <w:pPr>
        <w:tabs>
          <w:tab w:val="num" w:pos="810"/>
        </w:tabs>
        <w:ind w:left="810" w:hanging="360"/>
      </w:pPr>
      <w:rPr>
        <w:rFonts w:ascii="Arial" w:hAnsi="Arial" w:cs="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C223B7"/>
    <w:multiLevelType w:val="multilevel"/>
    <w:tmpl w:val="BE484D26"/>
    <w:lvl w:ilvl="0">
      <w:start w:val="1"/>
      <w:numFmt w:val="lowerLetter"/>
      <w:lvlText w:val="%1."/>
      <w:lvlJc w:val="left"/>
      <w:pPr>
        <w:tabs>
          <w:tab w:val="num" w:pos="720"/>
        </w:tabs>
        <w:ind w:left="720" w:hanging="360"/>
      </w:pPr>
      <w:rPr>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7381B25"/>
    <w:multiLevelType w:val="hybridMultilevel"/>
    <w:tmpl w:val="252C79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449104">
    <w:abstractNumId w:val="0"/>
  </w:num>
  <w:num w:numId="2" w16cid:durableId="1593508437">
    <w:abstractNumId w:val="1"/>
  </w:num>
  <w:num w:numId="3" w16cid:durableId="1692562554">
    <w:abstractNumId w:val="2"/>
  </w:num>
  <w:num w:numId="4" w16cid:durableId="1938907677">
    <w:abstractNumId w:val="3"/>
  </w:num>
  <w:num w:numId="5" w16cid:durableId="258484823">
    <w:abstractNumId w:val="4"/>
  </w:num>
  <w:num w:numId="6" w16cid:durableId="158883458">
    <w:abstractNumId w:val="5"/>
  </w:num>
  <w:num w:numId="7" w16cid:durableId="344013632">
    <w:abstractNumId w:val="10"/>
  </w:num>
  <w:num w:numId="8" w16cid:durableId="1643850964">
    <w:abstractNumId w:val="6"/>
  </w:num>
  <w:num w:numId="9" w16cid:durableId="866722766">
    <w:abstractNumId w:val="7"/>
  </w:num>
  <w:num w:numId="10" w16cid:durableId="652874110">
    <w:abstractNumId w:val="8"/>
  </w:num>
  <w:num w:numId="11" w16cid:durableId="68499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8"/>
    <w:rsid w:val="00013997"/>
    <w:rsid w:val="00017A74"/>
    <w:rsid w:val="00021346"/>
    <w:rsid w:val="000425EB"/>
    <w:rsid w:val="00044D6A"/>
    <w:rsid w:val="000567E1"/>
    <w:rsid w:val="00064A32"/>
    <w:rsid w:val="000773AE"/>
    <w:rsid w:val="000823A6"/>
    <w:rsid w:val="00096BCB"/>
    <w:rsid w:val="000A6A1A"/>
    <w:rsid w:val="000B20E8"/>
    <w:rsid w:val="000B4CC2"/>
    <w:rsid w:val="000E13F9"/>
    <w:rsid w:val="000F0D02"/>
    <w:rsid w:val="001024D4"/>
    <w:rsid w:val="00137661"/>
    <w:rsid w:val="00140A54"/>
    <w:rsid w:val="00147FDB"/>
    <w:rsid w:val="00156903"/>
    <w:rsid w:val="00186649"/>
    <w:rsid w:val="0018744A"/>
    <w:rsid w:val="001979E0"/>
    <w:rsid w:val="001A0CE8"/>
    <w:rsid w:val="001A6B36"/>
    <w:rsid w:val="001C6269"/>
    <w:rsid w:val="001C660E"/>
    <w:rsid w:val="001F17A3"/>
    <w:rsid w:val="001F24C4"/>
    <w:rsid w:val="001F6AC4"/>
    <w:rsid w:val="00207D53"/>
    <w:rsid w:val="00212911"/>
    <w:rsid w:val="002254FA"/>
    <w:rsid w:val="00252DF2"/>
    <w:rsid w:val="00273334"/>
    <w:rsid w:val="00296D8E"/>
    <w:rsid w:val="00297C78"/>
    <w:rsid w:val="002A006E"/>
    <w:rsid w:val="002B2704"/>
    <w:rsid w:val="002C7A32"/>
    <w:rsid w:val="002D5ED7"/>
    <w:rsid w:val="002E68D2"/>
    <w:rsid w:val="00303A59"/>
    <w:rsid w:val="003109E6"/>
    <w:rsid w:val="003113C1"/>
    <w:rsid w:val="00314CBA"/>
    <w:rsid w:val="00315870"/>
    <w:rsid w:val="0031629F"/>
    <w:rsid w:val="00322AA2"/>
    <w:rsid w:val="00336E21"/>
    <w:rsid w:val="00346541"/>
    <w:rsid w:val="00350B38"/>
    <w:rsid w:val="003562C2"/>
    <w:rsid w:val="00365B6E"/>
    <w:rsid w:val="00372F79"/>
    <w:rsid w:val="003749B4"/>
    <w:rsid w:val="003946E5"/>
    <w:rsid w:val="00395020"/>
    <w:rsid w:val="00396767"/>
    <w:rsid w:val="003A7127"/>
    <w:rsid w:val="003B74FE"/>
    <w:rsid w:val="003C4842"/>
    <w:rsid w:val="003D0E9C"/>
    <w:rsid w:val="003D4182"/>
    <w:rsid w:val="003D4E7A"/>
    <w:rsid w:val="003D5ABC"/>
    <w:rsid w:val="003E3ACA"/>
    <w:rsid w:val="003F7E00"/>
    <w:rsid w:val="0040274B"/>
    <w:rsid w:val="004356DF"/>
    <w:rsid w:val="00483503"/>
    <w:rsid w:val="0048394F"/>
    <w:rsid w:val="004849B7"/>
    <w:rsid w:val="00490CC2"/>
    <w:rsid w:val="004A3D97"/>
    <w:rsid w:val="004C6A2B"/>
    <w:rsid w:val="004D73DF"/>
    <w:rsid w:val="004E7113"/>
    <w:rsid w:val="004F4B77"/>
    <w:rsid w:val="004F7530"/>
    <w:rsid w:val="00506EDB"/>
    <w:rsid w:val="00524216"/>
    <w:rsid w:val="005324DD"/>
    <w:rsid w:val="00540D3A"/>
    <w:rsid w:val="00544396"/>
    <w:rsid w:val="0054701E"/>
    <w:rsid w:val="0055525F"/>
    <w:rsid w:val="00567CAE"/>
    <w:rsid w:val="00575DF4"/>
    <w:rsid w:val="00583C03"/>
    <w:rsid w:val="00596920"/>
    <w:rsid w:val="005A614C"/>
    <w:rsid w:val="005C1DB1"/>
    <w:rsid w:val="005D5532"/>
    <w:rsid w:val="005E2895"/>
    <w:rsid w:val="005F4AED"/>
    <w:rsid w:val="00601FC4"/>
    <w:rsid w:val="006047FB"/>
    <w:rsid w:val="0062238F"/>
    <w:rsid w:val="00632626"/>
    <w:rsid w:val="00664A87"/>
    <w:rsid w:val="00695633"/>
    <w:rsid w:val="006959E2"/>
    <w:rsid w:val="006B0D06"/>
    <w:rsid w:val="006C1D90"/>
    <w:rsid w:val="006E0339"/>
    <w:rsid w:val="006E5C64"/>
    <w:rsid w:val="006E769F"/>
    <w:rsid w:val="006F1129"/>
    <w:rsid w:val="006F650F"/>
    <w:rsid w:val="00702FBE"/>
    <w:rsid w:val="00722E73"/>
    <w:rsid w:val="00733434"/>
    <w:rsid w:val="00737270"/>
    <w:rsid w:val="00762999"/>
    <w:rsid w:val="007652DC"/>
    <w:rsid w:val="00766220"/>
    <w:rsid w:val="0078146E"/>
    <w:rsid w:val="00782CA6"/>
    <w:rsid w:val="00787CDD"/>
    <w:rsid w:val="007C2397"/>
    <w:rsid w:val="007E364E"/>
    <w:rsid w:val="0080794E"/>
    <w:rsid w:val="008250C1"/>
    <w:rsid w:val="00832F5D"/>
    <w:rsid w:val="00847878"/>
    <w:rsid w:val="00871375"/>
    <w:rsid w:val="00876B95"/>
    <w:rsid w:val="00877458"/>
    <w:rsid w:val="00886BF9"/>
    <w:rsid w:val="008E1C92"/>
    <w:rsid w:val="00911728"/>
    <w:rsid w:val="009242AB"/>
    <w:rsid w:val="00941840"/>
    <w:rsid w:val="00946B0F"/>
    <w:rsid w:val="0097217B"/>
    <w:rsid w:val="00986746"/>
    <w:rsid w:val="00987530"/>
    <w:rsid w:val="00997EA9"/>
    <w:rsid w:val="009A1569"/>
    <w:rsid w:val="009A2531"/>
    <w:rsid w:val="009A4664"/>
    <w:rsid w:val="009A6418"/>
    <w:rsid w:val="009B1617"/>
    <w:rsid w:val="009B450D"/>
    <w:rsid w:val="009C5F28"/>
    <w:rsid w:val="009D68F7"/>
    <w:rsid w:val="009F0EEA"/>
    <w:rsid w:val="009F3156"/>
    <w:rsid w:val="009F3987"/>
    <w:rsid w:val="009F441F"/>
    <w:rsid w:val="00A23315"/>
    <w:rsid w:val="00A26AD3"/>
    <w:rsid w:val="00A300EB"/>
    <w:rsid w:val="00A520AD"/>
    <w:rsid w:val="00A5428C"/>
    <w:rsid w:val="00A7441A"/>
    <w:rsid w:val="00A97AF1"/>
    <w:rsid w:val="00AC5DB7"/>
    <w:rsid w:val="00AD63C9"/>
    <w:rsid w:val="00AD63E9"/>
    <w:rsid w:val="00AE440A"/>
    <w:rsid w:val="00AF4AFB"/>
    <w:rsid w:val="00B004F7"/>
    <w:rsid w:val="00B022C5"/>
    <w:rsid w:val="00B0386F"/>
    <w:rsid w:val="00B074D7"/>
    <w:rsid w:val="00B22E06"/>
    <w:rsid w:val="00B358C7"/>
    <w:rsid w:val="00B611AB"/>
    <w:rsid w:val="00B75301"/>
    <w:rsid w:val="00B83E0A"/>
    <w:rsid w:val="00B90343"/>
    <w:rsid w:val="00B92718"/>
    <w:rsid w:val="00B94268"/>
    <w:rsid w:val="00B95281"/>
    <w:rsid w:val="00BE1BA9"/>
    <w:rsid w:val="00BE1C64"/>
    <w:rsid w:val="00C02696"/>
    <w:rsid w:val="00C103A3"/>
    <w:rsid w:val="00C13857"/>
    <w:rsid w:val="00C179AE"/>
    <w:rsid w:val="00C329B6"/>
    <w:rsid w:val="00C40878"/>
    <w:rsid w:val="00C7745D"/>
    <w:rsid w:val="00CE14F2"/>
    <w:rsid w:val="00D008D1"/>
    <w:rsid w:val="00D01778"/>
    <w:rsid w:val="00D04023"/>
    <w:rsid w:val="00D12C11"/>
    <w:rsid w:val="00D25F8F"/>
    <w:rsid w:val="00D3110A"/>
    <w:rsid w:val="00D347C2"/>
    <w:rsid w:val="00D53384"/>
    <w:rsid w:val="00D56804"/>
    <w:rsid w:val="00D6762D"/>
    <w:rsid w:val="00D7200F"/>
    <w:rsid w:val="00D77842"/>
    <w:rsid w:val="00DA1B03"/>
    <w:rsid w:val="00DA3C57"/>
    <w:rsid w:val="00DA7DDD"/>
    <w:rsid w:val="00DB4948"/>
    <w:rsid w:val="00DB7CBE"/>
    <w:rsid w:val="00DC3A2F"/>
    <w:rsid w:val="00DD6D77"/>
    <w:rsid w:val="00DE0CC9"/>
    <w:rsid w:val="00DE4B42"/>
    <w:rsid w:val="00DE4C5F"/>
    <w:rsid w:val="00DF1E83"/>
    <w:rsid w:val="00DF3C28"/>
    <w:rsid w:val="00E047D6"/>
    <w:rsid w:val="00E10405"/>
    <w:rsid w:val="00E34D66"/>
    <w:rsid w:val="00E3642B"/>
    <w:rsid w:val="00E36E07"/>
    <w:rsid w:val="00E40015"/>
    <w:rsid w:val="00E411C3"/>
    <w:rsid w:val="00E51ECB"/>
    <w:rsid w:val="00E52657"/>
    <w:rsid w:val="00E740B7"/>
    <w:rsid w:val="00E806AC"/>
    <w:rsid w:val="00E82EC8"/>
    <w:rsid w:val="00E86514"/>
    <w:rsid w:val="00EA5363"/>
    <w:rsid w:val="00EE7A15"/>
    <w:rsid w:val="00EF2757"/>
    <w:rsid w:val="00F273BC"/>
    <w:rsid w:val="00F30796"/>
    <w:rsid w:val="00F31BFB"/>
    <w:rsid w:val="00F527A8"/>
    <w:rsid w:val="00F52C81"/>
    <w:rsid w:val="00F87E40"/>
    <w:rsid w:val="00F964E6"/>
    <w:rsid w:val="00F970DA"/>
    <w:rsid w:val="00FA08AE"/>
    <w:rsid w:val="00FA4C63"/>
    <w:rsid w:val="00FB4B0A"/>
    <w:rsid w:val="00FC6C22"/>
    <w:rsid w:val="00FC7067"/>
    <w:rsid w:val="00FF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07092D"/>
  <w15:docId w15:val="{2DB706C6-8A8E-4968-9F08-A340C101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626"/>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customStyle="1" w:styleId="FundingListfundDetails">
    <w:name w:val="FundingList_fundDetails"/>
    <w:basedOn w:val="Normal"/>
    <w:pPr>
      <w:spacing w:after="270" w:line="300" w:lineRule="atLeast"/>
    </w:pPr>
  </w:style>
  <w:style w:type="paragraph" w:customStyle="1" w:styleId="FundingListawardDate">
    <w:name w:val="FundingList_awardDate"/>
    <w:basedOn w:val="Normal"/>
  </w:style>
  <w:style w:type="paragraph" w:customStyle="1" w:styleId="sectionFundingawardID">
    <w:name w:val="sectionFunding_awardID"/>
    <w:basedOn w:val="Normal"/>
  </w:style>
  <w:style w:type="paragraph" w:customStyle="1" w:styleId="FundingListpiName">
    <w:name w:val="FundingList_piName"/>
    <w:basedOn w:val="Normal"/>
  </w:style>
  <w:style w:type="paragraph" w:customStyle="1" w:styleId="DataField11pt-Single">
    <w:name w:val="Data Field 11pt-Single"/>
    <w:basedOn w:val="Normal"/>
    <w:link w:val="DataField11pt-SingleChar"/>
    <w:rsid w:val="000F0D02"/>
    <w:pPr>
      <w:autoSpaceDE w:val="0"/>
      <w:autoSpaceDN w:val="0"/>
    </w:pPr>
    <w:rPr>
      <w:rFonts w:eastAsia="Times New Roman"/>
      <w:szCs w:val="20"/>
      <w:bdr w:val="none" w:sz="0" w:space="0" w:color="auto"/>
    </w:rPr>
  </w:style>
  <w:style w:type="character" w:customStyle="1" w:styleId="DataField11pt-SingleChar">
    <w:name w:val="Data Field 11pt-Single Char"/>
    <w:basedOn w:val="DefaultParagraphFont"/>
    <w:link w:val="DataField11pt-Single"/>
    <w:rsid w:val="000F0D02"/>
    <w:rPr>
      <w:rFonts w:ascii="Arial" w:hAnsi="Arial" w:cs="Arial"/>
      <w:sz w:val="22"/>
    </w:rPr>
  </w:style>
  <w:style w:type="paragraph" w:styleId="BalloonText">
    <w:name w:val="Balloon Text"/>
    <w:basedOn w:val="Normal"/>
    <w:link w:val="BalloonTextChar"/>
    <w:uiPriority w:val="99"/>
    <w:semiHidden/>
    <w:unhideWhenUsed/>
    <w:rsid w:val="009A4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64"/>
    <w:rPr>
      <w:rFonts w:ascii="Segoe UI" w:eastAsia="Arial" w:hAnsi="Segoe UI" w:cs="Segoe UI"/>
      <w:sz w:val="18"/>
      <w:szCs w:val="18"/>
      <w:bdr w:val="nil"/>
    </w:rPr>
  </w:style>
  <w:style w:type="character" w:styleId="Hyperlink">
    <w:name w:val="Hyperlink"/>
    <w:basedOn w:val="DefaultParagraphFont"/>
    <w:uiPriority w:val="99"/>
    <w:unhideWhenUsed/>
    <w:rsid w:val="000B4CC2"/>
    <w:rPr>
      <w:color w:val="0000FF"/>
      <w:u w:val="single"/>
    </w:rPr>
  </w:style>
  <w:style w:type="paragraph" w:styleId="ListParagraph">
    <w:name w:val="List Paragraph"/>
    <w:basedOn w:val="Normal"/>
    <w:uiPriority w:val="34"/>
    <w:qFormat/>
    <w:rsid w:val="00567CAE"/>
    <w:pPr>
      <w:spacing w:after="80"/>
      <w:ind w:left="720"/>
      <w:contextualSpacing/>
    </w:pPr>
    <w:rPr>
      <w:rFonts w:ascii="Times New Roman" w:eastAsia="Times New Roman" w:hAnsi="Times New Roman" w:cs="Times New Roman"/>
      <w:sz w:val="20"/>
      <w:szCs w:val="20"/>
      <w:bdr w:val="none" w:sz="0" w:space="0" w:color="auto"/>
    </w:rPr>
  </w:style>
  <w:style w:type="character" w:styleId="CommentReference">
    <w:name w:val="annotation reference"/>
    <w:basedOn w:val="DefaultParagraphFont"/>
    <w:uiPriority w:val="99"/>
    <w:semiHidden/>
    <w:unhideWhenUsed/>
    <w:rsid w:val="003C4842"/>
    <w:rPr>
      <w:sz w:val="16"/>
      <w:szCs w:val="16"/>
    </w:rPr>
  </w:style>
  <w:style w:type="paragraph" w:styleId="CommentText">
    <w:name w:val="annotation text"/>
    <w:basedOn w:val="Normal"/>
    <w:link w:val="CommentTextChar"/>
    <w:uiPriority w:val="99"/>
    <w:semiHidden/>
    <w:unhideWhenUsed/>
    <w:rsid w:val="003C4842"/>
    <w:rPr>
      <w:sz w:val="20"/>
      <w:szCs w:val="20"/>
    </w:rPr>
  </w:style>
  <w:style w:type="character" w:customStyle="1" w:styleId="CommentTextChar">
    <w:name w:val="Comment Text Char"/>
    <w:basedOn w:val="DefaultParagraphFont"/>
    <w:link w:val="CommentText"/>
    <w:uiPriority w:val="99"/>
    <w:semiHidden/>
    <w:rsid w:val="003C4842"/>
    <w:rPr>
      <w:rFonts w:ascii="Arial" w:eastAsia="Arial" w:hAnsi="Arial" w:cs="Arial"/>
      <w:bdr w:val="nil"/>
    </w:rPr>
  </w:style>
  <w:style w:type="paragraph" w:styleId="CommentSubject">
    <w:name w:val="annotation subject"/>
    <w:basedOn w:val="CommentText"/>
    <w:next w:val="CommentText"/>
    <w:link w:val="CommentSubjectChar"/>
    <w:uiPriority w:val="99"/>
    <w:semiHidden/>
    <w:unhideWhenUsed/>
    <w:rsid w:val="003C4842"/>
    <w:rPr>
      <w:b/>
      <w:bCs/>
    </w:rPr>
  </w:style>
  <w:style w:type="character" w:customStyle="1" w:styleId="CommentSubjectChar">
    <w:name w:val="Comment Subject Char"/>
    <w:basedOn w:val="CommentTextChar"/>
    <w:link w:val="CommentSubject"/>
    <w:uiPriority w:val="99"/>
    <w:semiHidden/>
    <w:rsid w:val="003C4842"/>
    <w:rPr>
      <w:rFonts w:ascii="Arial" w:eastAsia="Arial" w:hAnsi="Arial" w:cs="Arial"/>
      <w:b/>
      <w:bCs/>
      <w:bdr w:val="nil"/>
    </w:rPr>
  </w:style>
  <w:style w:type="character" w:customStyle="1" w:styleId="jrnl">
    <w:name w:val="jrnl"/>
    <w:basedOn w:val="DefaultParagraphFont"/>
    <w:rsid w:val="001A0CE8"/>
  </w:style>
  <w:style w:type="table" w:styleId="TableGrid">
    <w:name w:val="Table Grid"/>
    <w:basedOn w:val="TableNormal"/>
    <w:uiPriority w:val="59"/>
    <w:rsid w:val="00B611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01E"/>
    <w:rPr>
      <w:color w:val="954F72" w:themeColor="followedHyperlink"/>
      <w:u w:val="single"/>
    </w:rPr>
  </w:style>
  <w:style w:type="paragraph" w:customStyle="1" w:styleId="Title1">
    <w:name w:val="Title1"/>
    <w:basedOn w:val="Normal"/>
    <w:rsid w:val="000B20E8"/>
    <w:pPr>
      <w:spacing w:before="100" w:beforeAutospacing="1" w:after="100" w:afterAutospacing="1"/>
    </w:pPr>
    <w:rPr>
      <w:rFonts w:ascii="Times New Roman" w:eastAsia="Times New Roman" w:hAnsi="Times New Roman" w:cs="Times New Roman"/>
      <w:sz w:val="24"/>
      <w:szCs w:val="24"/>
      <w:bdr w:val="none" w:sz="0" w:space="0" w:color="auto"/>
    </w:rPr>
  </w:style>
  <w:style w:type="paragraph" w:customStyle="1" w:styleId="desc">
    <w:name w:val="desc"/>
    <w:basedOn w:val="Normal"/>
    <w:rsid w:val="000B20E8"/>
    <w:pPr>
      <w:spacing w:before="100" w:beforeAutospacing="1" w:after="100" w:afterAutospacing="1"/>
    </w:pPr>
    <w:rPr>
      <w:rFonts w:ascii="Times New Roman" w:eastAsia="Times New Roman" w:hAnsi="Times New Roman" w:cs="Times New Roman"/>
      <w:sz w:val="24"/>
      <w:szCs w:val="24"/>
      <w:bdr w:val="none" w:sz="0" w:space="0" w:color="auto"/>
    </w:rPr>
  </w:style>
  <w:style w:type="paragraph" w:customStyle="1" w:styleId="details">
    <w:name w:val="details"/>
    <w:basedOn w:val="Normal"/>
    <w:rsid w:val="000B20E8"/>
    <w:pPr>
      <w:spacing w:before="100" w:beforeAutospacing="1" w:after="100" w:afterAutospacing="1"/>
    </w:pPr>
    <w:rPr>
      <w:rFonts w:ascii="Times New Roman" w:eastAsia="Times New Roman" w:hAnsi="Times New Roman" w:cs="Times New Roman"/>
      <w:sz w:val="24"/>
      <w:szCs w:val="24"/>
      <w:bdr w:val="none" w:sz="0" w:space="0" w:color="auto"/>
    </w:rPr>
  </w:style>
  <w:style w:type="paragraph" w:customStyle="1" w:styleId="OMBInfo">
    <w:name w:val="OMB Info"/>
    <w:basedOn w:val="Normal"/>
    <w:qFormat/>
    <w:rsid w:val="001F17A3"/>
    <w:pPr>
      <w:autoSpaceDE w:val="0"/>
      <w:autoSpaceDN w:val="0"/>
      <w:spacing w:after="120"/>
      <w:jc w:val="right"/>
    </w:pPr>
    <w:rPr>
      <w:rFonts w:eastAsia="Times New Roman" w:cs="Times New Roman"/>
      <w:sz w:val="16"/>
      <w:szCs w:val="24"/>
      <w:bdr w:val="none" w:sz="0" w:space="0" w:color="auto"/>
    </w:rPr>
  </w:style>
  <w:style w:type="character" w:styleId="UnresolvedMention">
    <w:name w:val="Unresolved Mention"/>
    <w:basedOn w:val="DefaultParagraphFont"/>
    <w:uiPriority w:val="99"/>
    <w:semiHidden/>
    <w:unhideWhenUsed/>
    <w:rsid w:val="009F441F"/>
    <w:rPr>
      <w:color w:val="605E5C"/>
      <w:shd w:val="clear" w:color="auto" w:fill="E1DFDD"/>
    </w:rPr>
  </w:style>
  <w:style w:type="character" w:customStyle="1" w:styleId="citation-part">
    <w:name w:val="citation-part"/>
    <w:basedOn w:val="DefaultParagraphFont"/>
    <w:rsid w:val="00D6762D"/>
  </w:style>
  <w:style w:type="character" w:customStyle="1" w:styleId="docsum-pmid">
    <w:name w:val="docsum-pmid"/>
    <w:basedOn w:val="DefaultParagraphFont"/>
    <w:rsid w:val="00D6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524">
      <w:bodyDiv w:val="1"/>
      <w:marLeft w:val="0"/>
      <w:marRight w:val="0"/>
      <w:marTop w:val="0"/>
      <w:marBottom w:val="0"/>
      <w:divBdr>
        <w:top w:val="none" w:sz="0" w:space="0" w:color="auto"/>
        <w:left w:val="none" w:sz="0" w:space="0" w:color="auto"/>
        <w:bottom w:val="none" w:sz="0" w:space="0" w:color="auto"/>
        <w:right w:val="none" w:sz="0" w:space="0" w:color="auto"/>
      </w:divBdr>
    </w:div>
    <w:div w:id="201409891">
      <w:bodyDiv w:val="1"/>
      <w:marLeft w:val="0"/>
      <w:marRight w:val="0"/>
      <w:marTop w:val="0"/>
      <w:marBottom w:val="0"/>
      <w:divBdr>
        <w:top w:val="none" w:sz="0" w:space="0" w:color="auto"/>
        <w:left w:val="none" w:sz="0" w:space="0" w:color="auto"/>
        <w:bottom w:val="none" w:sz="0" w:space="0" w:color="auto"/>
        <w:right w:val="none" w:sz="0" w:space="0" w:color="auto"/>
      </w:divBdr>
    </w:div>
    <w:div w:id="395519823">
      <w:bodyDiv w:val="1"/>
      <w:marLeft w:val="0"/>
      <w:marRight w:val="0"/>
      <w:marTop w:val="0"/>
      <w:marBottom w:val="0"/>
      <w:divBdr>
        <w:top w:val="none" w:sz="0" w:space="0" w:color="auto"/>
        <w:left w:val="none" w:sz="0" w:space="0" w:color="auto"/>
        <w:bottom w:val="none" w:sz="0" w:space="0" w:color="auto"/>
        <w:right w:val="none" w:sz="0" w:space="0" w:color="auto"/>
      </w:divBdr>
    </w:div>
    <w:div w:id="405497469">
      <w:bodyDiv w:val="1"/>
      <w:marLeft w:val="0"/>
      <w:marRight w:val="0"/>
      <w:marTop w:val="0"/>
      <w:marBottom w:val="0"/>
      <w:divBdr>
        <w:top w:val="none" w:sz="0" w:space="0" w:color="auto"/>
        <w:left w:val="none" w:sz="0" w:space="0" w:color="auto"/>
        <w:bottom w:val="none" w:sz="0" w:space="0" w:color="auto"/>
        <w:right w:val="none" w:sz="0" w:space="0" w:color="auto"/>
      </w:divBdr>
    </w:div>
    <w:div w:id="508374144">
      <w:bodyDiv w:val="1"/>
      <w:marLeft w:val="0"/>
      <w:marRight w:val="0"/>
      <w:marTop w:val="0"/>
      <w:marBottom w:val="0"/>
      <w:divBdr>
        <w:top w:val="none" w:sz="0" w:space="0" w:color="auto"/>
        <w:left w:val="none" w:sz="0" w:space="0" w:color="auto"/>
        <w:bottom w:val="none" w:sz="0" w:space="0" w:color="auto"/>
        <w:right w:val="none" w:sz="0" w:space="0" w:color="auto"/>
      </w:divBdr>
      <w:divsChild>
        <w:div w:id="933589746">
          <w:marLeft w:val="0"/>
          <w:marRight w:val="0"/>
          <w:marTop w:val="34"/>
          <w:marBottom w:val="34"/>
          <w:divBdr>
            <w:top w:val="none" w:sz="0" w:space="0" w:color="auto"/>
            <w:left w:val="none" w:sz="0" w:space="0" w:color="auto"/>
            <w:bottom w:val="none" w:sz="0" w:space="0" w:color="auto"/>
            <w:right w:val="none" w:sz="0" w:space="0" w:color="auto"/>
          </w:divBdr>
        </w:div>
        <w:div w:id="1529952748">
          <w:marLeft w:val="0"/>
          <w:marRight w:val="0"/>
          <w:marTop w:val="0"/>
          <w:marBottom w:val="0"/>
          <w:divBdr>
            <w:top w:val="none" w:sz="0" w:space="0" w:color="auto"/>
            <w:left w:val="none" w:sz="0" w:space="0" w:color="auto"/>
            <w:bottom w:val="none" w:sz="0" w:space="0" w:color="auto"/>
            <w:right w:val="none" w:sz="0" w:space="0" w:color="auto"/>
          </w:divBdr>
        </w:div>
      </w:divsChild>
    </w:div>
    <w:div w:id="531768171">
      <w:bodyDiv w:val="1"/>
      <w:marLeft w:val="0"/>
      <w:marRight w:val="0"/>
      <w:marTop w:val="0"/>
      <w:marBottom w:val="0"/>
      <w:divBdr>
        <w:top w:val="none" w:sz="0" w:space="0" w:color="auto"/>
        <w:left w:val="none" w:sz="0" w:space="0" w:color="auto"/>
        <w:bottom w:val="none" w:sz="0" w:space="0" w:color="auto"/>
        <w:right w:val="none" w:sz="0" w:space="0" w:color="auto"/>
      </w:divBdr>
    </w:div>
    <w:div w:id="633292420">
      <w:bodyDiv w:val="1"/>
      <w:marLeft w:val="0"/>
      <w:marRight w:val="0"/>
      <w:marTop w:val="0"/>
      <w:marBottom w:val="0"/>
      <w:divBdr>
        <w:top w:val="none" w:sz="0" w:space="0" w:color="auto"/>
        <w:left w:val="none" w:sz="0" w:space="0" w:color="auto"/>
        <w:bottom w:val="none" w:sz="0" w:space="0" w:color="auto"/>
        <w:right w:val="none" w:sz="0" w:space="0" w:color="auto"/>
      </w:divBdr>
    </w:div>
    <w:div w:id="646863243">
      <w:bodyDiv w:val="1"/>
      <w:marLeft w:val="0"/>
      <w:marRight w:val="0"/>
      <w:marTop w:val="0"/>
      <w:marBottom w:val="0"/>
      <w:divBdr>
        <w:top w:val="none" w:sz="0" w:space="0" w:color="auto"/>
        <w:left w:val="none" w:sz="0" w:space="0" w:color="auto"/>
        <w:bottom w:val="none" w:sz="0" w:space="0" w:color="auto"/>
        <w:right w:val="none" w:sz="0" w:space="0" w:color="auto"/>
      </w:divBdr>
    </w:div>
    <w:div w:id="747114782">
      <w:bodyDiv w:val="1"/>
      <w:marLeft w:val="0"/>
      <w:marRight w:val="0"/>
      <w:marTop w:val="0"/>
      <w:marBottom w:val="0"/>
      <w:divBdr>
        <w:top w:val="none" w:sz="0" w:space="0" w:color="auto"/>
        <w:left w:val="none" w:sz="0" w:space="0" w:color="auto"/>
        <w:bottom w:val="none" w:sz="0" w:space="0" w:color="auto"/>
        <w:right w:val="none" w:sz="0" w:space="0" w:color="auto"/>
      </w:divBdr>
      <w:divsChild>
        <w:div w:id="482813868">
          <w:marLeft w:val="0"/>
          <w:marRight w:val="0"/>
          <w:marTop w:val="34"/>
          <w:marBottom w:val="34"/>
          <w:divBdr>
            <w:top w:val="none" w:sz="0" w:space="0" w:color="auto"/>
            <w:left w:val="none" w:sz="0" w:space="0" w:color="auto"/>
            <w:bottom w:val="none" w:sz="0" w:space="0" w:color="auto"/>
            <w:right w:val="none" w:sz="0" w:space="0" w:color="auto"/>
          </w:divBdr>
        </w:div>
        <w:div w:id="233903860">
          <w:marLeft w:val="0"/>
          <w:marRight w:val="0"/>
          <w:marTop w:val="0"/>
          <w:marBottom w:val="0"/>
          <w:divBdr>
            <w:top w:val="none" w:sz="0" w:space="0" w:color="auto"/>
            <w:left w:val="none" w:sz="0" w:space="0" w:color="auto"/>
            <w:bottom w:val="none" w:sz="0" w:space="0" w:color="auto"/>
            <w:right w:val="none" w:sz="0" w:space="0" w:color="auto"/>
          </w:divBdr>
        </w:div>
      </w:divsChild>
    </w:div>
    <w:div w:id="756558277">
      <w:bodyDiv w:val="1"/>
      <w:marLeft w:val="0"/>
      <w:marRight w:val="0"/>
      <w:marTop w:val="0"/>
      <w:marBottom w:val="0"/>
      <w:divBdr>
        <w:top w:val="none" w:sz="0" w:space="0" w:color="auto"/>
        <w:left w:val="none" w:sz="0" w:space="0" w:color="auto"/>
        <w:bottom w:val="none" w:sz="0" w:space="0" w:color="auto"/>
        <w:right w:val="none" w:sz="0" w:space="0" w:color="auto"/>
      </w:divBdr>
      <w:divsChild>
        <w:div w:id="545802843">
          <w:marLeft w:val="0"/>
          <w:marRight w:val="0"/>
          <w:marTop w:val="0"/>
          <w:marBottom w:val="0"/>
          <w:divBdr>
            <w:top w:val="none" w:sz="0" w:space="0" w:color="auto"/>
            <w:left w:val="none" w:sz="0" w:space="0" w:color="auto"/>
            <w:bottom w:val="none" w:sz="0" w:space="0" w:color="auto"/>
            <w:right w:val="none" w:sz="0" w:space="0" w:color="auto"/>
          </w:divBdr>
          <w:divsChild>
            <w:div w:id="445924708">
              <w:marLeft w:val="0"/>
              <w:marRight w:val="0"/>
              <w:marTop w:val="0"/>
              <w:marBottom w:val="0"/>
              <w:divBdr>
                <w:top w:val="none" w:sz="0" w:space="0" w:color="auto"/>
                <w:left w:val="none" w:sz="0" w:space="0" w:color="auto"/>
                <w:bottom w:val="none" w:sz="0" w:space="0" w:color="auto"/>
                <w:right w:val="none" w:sz="0" w:space="0" w:color="auto"/>
              </w:divBdr>
              <w:divsChild>
                <w:div w:id="1278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105">
          <w:marLeft w:val="0"/>
          <w:marRight w:val="0"/>
          <w:marTop w:val="0"/>
          <w:marBottom w:val="0"/>
          <w:divBdr>
            <w:top w:val="none" w:sz="0" w:space="0" w:color="auto"/>
            <w:left w:val="none" w:sz="0" w:space="0" w:color="auto"/>
            <w:bottom w:val="none" w:sz="0" w:space="0" w:color="auto"/>
            <w:right w:val="none" w:sz="0" w:space="0" w:color="auto"/>
          </w:divBdr>
          <w:divsChild>
            <w:div w:id="6657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9053">
      <w:bodyDiv w:val="1"/>
      <w:marLeft w:val="0"/>
      <w:marRight w:val="0"/>
      <w:marTop w:val="0"/>
      <w:marBottom w:val="0"/>
      <w:divBdr>
        <w:top w:val="none" w:sz="0" w:space="0" w:color="auto"/>
        <w:left w:val="none" w:sz="0" w:space="0" w:color="auto"/>
        <w:bottom w:val="none" w:sz="0" w:space="0" w:color="auto"/>
        <w:right w:val="none" w:sz="0" w:space="0" w:color="auto"/>
      </w:divBdr>
    </w:div>
    <w:div w:id="1145274050">
      <w:bodyDiv w:val="1"/>
      <w:marLeft w:val="0"/>
      <w:marRight w:val="0"/>
      <w:marTop w:val="0"/>
      <w:marBottom w:val="0"/>
      <w:divBdr>
        <w:top w:val="none" w:sz="0" w:space="0" w:color="auto"/>
        <w:left w:val="none" w:sz="0" w:space="0" w:color="auto"/>
        <w:bottom w:val="none" w:sz="0" w:space="0" w:color="auto"/>
        <w:right w:val="none" w:sz="0" w:space="0" w:color="auto"/>
      </w:divBdr>
      <w:divsChild>
        <w:div w:id="1968663508">
          <w:marLeft w:val="0"/>
          <w:marRight w:val="0"/>
          <w:marTop w:val="0"/>
          <w:marBottom w:val="0"/>
          <w:divBdr>
            <w:top w:val="none" w:sz="0" w:space="0" w:color="auto"/>
            <w:left w:val="none" w:sz="0" w:space="0" w:color="auto"/>
            <w:bottom w:val="none" w:sz="0" w:space="0" w:color="auto"/>
            <w:right w:val="none" w:sz="0" w:space="0" w:color="auto"/>
          </w:divBdr>
        </w:div>
      </w:divsChild>
    </w:div>
    <w:div w:id="1244996586">
      <w:bodyDiv w:val="1"/>
      <w:marLeft w:val="0"/>
      <w:marRight w:val="0"/>
      <w:marTop w:val="0"/>
      <w:marBottom w:val="0"/>
      <w:divBdr>
        <w:top w:val="none" w:sz="0" w:space="0" w:color="auto"/>
        <w:left w:val="none" w:sz="0" w:space="0" w:color="auto"/>
        <w:bottom w:val="none" w:sz="0" w:space="0" w:color="auto"/>
        <w:right w:val="none" w:sz="0" w:space="0" w:color="auto"/>
      </w:divBdr>
      <w:divsChild>
        <w:div w:id="49574351">
          <w:marLeft w:val="0"/>
          <w:marRight w:val="0"/>
          <w:marTop w:val="0"/>
          <w:marBottom w:val="0"/>
          <w:divBdr>
            <w:top w:val="none" w:sz="0" w:space="0" w:color="auto"/>
            <w:left w:val="none" w:sz="0" w:space="0" w:color="auto"/>
            <w:bottom w:val="none" w:sz="0" w:space="0" w:color="auto"/>
            <w:right w:val="none" w:sz="0" w:space="0" w:color="auto"/>
          </w:divBdr>
        </w:div>
      </w:divsChild>
    </w:div>
    <w:div w:id="1247491759">
      <w:bodyDiv w:val="1"/>
      <w:marLeft w:val="0"/>
      <w:marRight w:val="0"/>
      <w:marTop w:val="0"/>
      <w:marBottom w:val="0"/>
      <w:divBdr>
        <w:top w:val="none" w:sz="0" w:space="0" w:color="auto"/>
        <w:left w:val="none" w:sz="0" w:space="0" w:color="auto"/>
        <w:bottom w:val="none" w:sz="0" w:space="0" w:color="auto"/>
        <w:right w:val="none" w:sz="0" w:space="0" w:color="auto"/>
      </w:divBdr>
    </w:div>
    <w:div w:id="1351878302">
      <w:bodyDiv w:val="1"/>
      <w:marLeft w:val="0"/>
      <w:marRight w:val="0"/>
      <w:marTop w:val="0"/>
      <w:marBottom w:val="0"/>
      <w:divBdr>
        <w:top w:val="none" w:sz="0" w:space="0" w:color="auto"/>
        <w:left w:val="none" w:sz="0" w:space="0" w:color="auto"/>
        <w:bottom w:val="none" w:sz="0" w:space="0" w:color="auto"/>
        <w:right w:val="none" w:sz="0" w:space="0" w:color="auto"/>
      </w:divBdr>
    </w:div>
    <w:div w:id="1377122143">
      <w:bodyDiv w:val="1"/>
      <w:marLeft w:val="0"/>
      <w:marRight w:val="0"/>
      <w:marTop w:val="0"/>
      <w:marBottom w:val="0"/>
      <w:divBdr>
        <w:top w:val="none" w:sz="0" w:space="0" w:color="auto"/>
        <w:left w:val="none" w:sz="0" w:space="0" w:color="auto"/>
        <w:bottom w:val="none" w:sz="0" w:space="0" w:color="auto"/>
        <w:right w:val="none" w:sz="0" w:space="0" w:color="auto"/>
      </w:divBdr>
    </w:div>
    <w:div w:id="1478182854">
      <w:bodyDiv w:val="1"/>
      <w:marLeft w:val="0"/>
      <w:marRight w:val="0"/>
      <w:marTop w:val="0"/>
      <w:marBottom w:val="0"/>
      <w:divBdr>
        <w:top w:val="none" w:sz="0" w:space="0" w:color="auto"/>
        <w:left w:val="none" w:sz="0" w:space="0" w:color="auto"/>
        <w:bottom w:val="none" w:sz="0" w:space="0" w:color="auto"/>
        <w:right w:val="none" w:sz="0" w:space="0" w:color="auto"/>
      </w:divBdr>
    </w:div>
    <w:div w:id="1667703386">
      <w:bodyDiv w:val="1"/>
      <w:marLeft w:val="0"/>
      <w:marRight w:val="0"/>
      <w:marTop w:val="0"/>
      <w:marBottom w:val="0"/>
      <w:divBdr>
        <w:top w:val="none" w:sz="0" w:space="0" w:color="auto"/>
        <w:left w:val="none" w:sz="0" w:space="0" w:color="auto"/>
        <w:bottom w:val="none" w:sz="0" w:space="0" w:color="auto"/>
        <w:right w:val="none" w:sz="0" w:space="0" w:color="auto"/>
      </w:divBdr>
    </w:div>
    <w:div w:id="1839884706">
      <w:bodyDiv w:val="1"/>
      <w:marLeft w:val="0"/>
      <w:marRight w:val="0"/>
      <w:marTop w:val="0"/>
      <w:marBottom w:val="0"/>
      <w:divBdr>
        <w:top w:val="none" w:sz="0" w:space="0" w:color="auto"/>
        <w:left w:val="none" w:sz="0" w:space="0" w:color="auto"/>
        <w:bottom w:val="none" w:sz="0" w:space="0" w:color="auto"/>
        <w:right w:val="none" w:sz="0" w:space="0" w:color="auto"/>
      </w:divBdr>
    </w:div>
    <w:div w:id="1926069982">
      <w:bodyDiv w:val="1"/>
      <w:marLeft w:val="0"/>
      <w:marRight w:val="0"/>
      <w:marTop w:val="0"/>
      <w:marBottom w:val="0"/>
      <w:divBdr>
        <w:top w:val="none" w:sz="0" w:space="0" w:color="auto"/>
        <w:left w:val="none" w:sz="0" w:space="0" w:color="auto"/>
        <w:bottom w:val="none" w:sz="0" w:space="0" w:color="auto"/>
        <w:right w:val="none" w:sz="0" w:space="0" w:color="auto"/>
      </w:divBdr>
    </w:div>
    <w:div w:id="1971471796">
      <w:bodyDiv w:val="1"/>
      <w:marLeft w:val="0"/>
      <w:marRight w:val="0"/>
      <w:marTop w:val="0"/>
      <w:marBottom w:val="0"/>
      <w:divBdr>
        <w:top w:val="none" w:sz="0" w:space="0" w:color="auto"/>
        <w:left w:val="none" w:sz="0" w:space="0" w:color="auto"/>
        <w:bottom w:val="none" w:sz="0" w:space="0" w:color="auto"/>
        <w:right w:val="none" w:sz="0" w:space="0" w:color="auto"/>
      </w:divBdr>
    </w:div>
    <w:div w:id="2137286689">
      <w:bodyDiv w:val="1"/>
      <w:marLeft w:val="0"/>
      <w:marRight w:val="0"/>
      <w:marTop w:val="0"/>
      <w:marBottom w:val="0"/>
      <w:divBdr>
        <w:top w:val="none" w:sz="0" w:space="0" w:color="auto"/>
        <w:left w:val="none" w:sz="0" w:space="0" w:color="auto"/>
        <w:bottom w:val="none" w:sz="0" w:space="0" w:color="auto"/>
        <w:right w:val="none" w:sz="0" w:space="0" w:color="auto"/>
      </w:divBdr>
      <w:divsChild>
        <w:div w:id="1811288844">
          <w:marLeft w:val="0"/>
          <w:marRight w:val="0"/>
          <w:marTop w:val="34"/>
          <w:marBottom w:val="34"/>
          <w:divBdr>
            <w:top w:val="none" w:sz="0" w:space="0" w:color="auto"/>
            <w:left w:val="none" w:sz="0" w:space="0" w:color="auto"/>
            <w:bottom w:val="none" w:sz="0" w:space="0" w:color="auto"/>
            <w:right w:val="none" w:sz="0" w:space="0" w:color="auto"/>
          </w:divBdr>
        </w:div>
        <w:div w:id="10641864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65675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29684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61AA6BCAB9843928F520B12EE7850" ma:contentTypeVersion="13" ma:contentTypeDescription="Create a new document." ma:contentTypeScope="" ma:versionID="64f2490aa56b8041e697a049515fa8fe">
  <xsd:schema xmlns:xsd="http://www.w3.org/2001/XMLSchema" xmlns:xs="http://www.w3.org/2001/XMLSchema" xmlns:p="http://schemas.microsoft.com/office/2006/metadata/properties" xmlns:ns3="3e0f288b-7b32-42c2-b1de-4ac800b18154" xmlns:ns4="678f56a7-51da-4392-a83f-f3cd5b63adaf" targetNamespace="http://schemas.microsoft.com/office/2006/metadata/properties" ma:root="true" ma:fieldsID="929ecfc6846f4935a5dc184deceb3cfc" ns3:_="" ns4:_="">
    <xsd:import namespace="3e0f288b-7b32-42c2-b1de-4ac800b18154"/>
    <xsd:import namespace="678f56a7-51da-4392-a83f-f3cd5b63ad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288b-7b32-42c2-b1de-4ac800b181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f56a7-51da-4392-a83f-f3cd5b63ada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742BA-3A7A-4102-A69D-DF2249973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288b-7b32-42c2-b1de-4ac800b18154"/>
    <ds:schemaRef ds:uri="678f56a7-51da-4392-a83f-f3cd5b63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EE825-DAA7-4279-B9BA-0A91C3AB9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22852-44DD-491D-A84C-0FFEC1BA2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2520</Words>
  <Characters>14369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SciENCV PDF</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dc:creator>Thorne, Peter S</dc:creator>
  <cp:lastModifiedBy>Thorne, Peter S</cp:lastModifiedBy>
  <cp:revision>2</cp:revision>
  <cp:lastPrinted>2015-05-22T14:34:00Z</cp:lastPrinted>
  <dcterms:created xsi:type="dcterms:W3CDTF">2022-07-20T14:06:00Z</dcterms:created>
  <dcterms:modified xsi:type="dcterms:W3CDTF">2022-07-20T14:06:00Z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0x01010003D61AA6BCAB9843928F520B12EE7850</vt:lpwstr>
  </property>
</Properties>
</file>